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Smart Education Nigeria Initiative</w:t>
      </w:r>
    </w:p>
    <w:p>
      <w:pPr>
        <w:pStyle w:val="Subtitle"/>
      </w:pPr>
      <w:r>
        <w:t>SENI</w:t>
      </w:r>
    </w:p>
    <w:p>
      <w:pPr>
        <w:pStyle w:val="Subtitle"/>
      </w:pPr>
      <w:r>
        <w:t>Concept Note and Comprehensive Framework</w:t>
      </w:r>
    </w:p>
    <w:p>
      <w:r>
        <w:t>Expanding access to quality education across Nigeria</w:t>
      </w:r>
    </w:p>
    <w:p>
      <w:r>
        <w:t>Prepared for the Center for Innovation and Entrepreneurship Nigeria</w:t>
        <w:br/>
        <w:t>15 October 2026  |  Version 1.0  |  Strategic draft for review and adoption</w:t>
      </w:r>
    </w:p>
    <w:p>
      <w:pPr>
        <w:pStyle w:val="Heading2"/>
      </w:pPr>
      <w:r>
        <w:t>Purpose of this document</w:t>
      </w:r>
    </w:p>
    <w:p>
      <w:r>
        <w:t>This document defines SENI as a proposed national initiative coordinated by CIE Nigeria to improve education through capable educators, effective institutional management, inclusive learning opportunities and dependable technology and infrastructure. It combines a standalone concept note with an operating framework for partnerships, state programmes and institutional implementation.</w:t>
      </w:r>
    </w:p>
    <w:p>
      <w:r>
        <w:t>The recommended starting point is a supported demonstration cohort built around school management and educator development. BenSEP provides the initial state programme reference. Expansion should follow evidence of useful adoption, affordability, learning value and delivery capacity.</w:t>
      </w:r>
    </w:p>
    <w:p>
      <w:pPr>
        <w:pStyle w:val="Heading2"/>
      </w:pPr>
      <w:r>
        <w:t>Status and use</w:t>
      </w:r>
    </w:p>
    <w:p>
      <w:r>
        <w:t>The SENI name follows the founder’s direction in October 2026. Governance structures, national component names, numerical thresholds and the rollout schedule in this document are proposals for adoption. They do not represent secured funding, government approval, confirmed procurement, or completed national deployment. Each implementation requires its own signed scope and resourcing plan.</w:t>
      </w:r>
    </w:p>
    <w:p>
      <w:r>
        <w:t>Prepared for leadership, prospective public and private partners, school owners and managers, educators, funders and implementation teams. This is a strategic and delivery framework; detailed software specifications and state budgets will be developed separately.</w:t>
      </w:r>
    </w:p>
    <w:p>
      <w:pPr>
        <w:pStyle w:val="Heading1"/>
        <w:pageBreakBefore/>
      </w:pPr>
      <w:r>
        <w:t>Document guide</w:t>
      </w:r>
    </w:p>
    <w:tbl>
      <w:tblPr>
        <w:tblW w:type="auto" w:w="0"/>
        <w:tblLayout w:type="fixed"/>
        <w:tblLook w:firstColumn="1" w:firstRow="1" w:lastColumn="0" w:lastRow="0" w:noHBand="0" w:noVBand="1" w:val="04A0"/>
      </w:tblPr>
      <w:tblGrid>
        <w:gridCol w:w="2232"/>
        <w:gridCol w:w="7632"/>
      </w:tblGrid>
      <w:tr>
        <w:trPr>
          <w:cantSplit/>
          <w:tblHeader/>
        </w:trPr>
        <w:tc>
          <w:tcPr>
            <w:tcW w:type="dxa" w:w="2232"/>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Part</w:t>
            </w:r>
          </w:p>
        </w:tc>
        <w:tc>
          <w:tcPr>
            <w:tcW w:type="dxa" w:w="7632"/>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Sections and purpose</w:t>
            </w:r>
          </w:p>
        </w:tc>
      </w:tr>
      <w:tr>
        <w:trPr>
          <w:cantSplit/>
        </w:trPr>
        <w:tc>
          <w:tcPr>
            <w:tcW w:type="dxa" w:w="22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  Concept note</w:t>
            </w:r>
          </w:p>
        </w:tc>
        <w:tc>
          <w:tcPr>
            <w:tcW w:type="dxa" w:w="76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1  Executive concept</w:t>
              <w:br/>
              <w:t>2  Rationale and strategic direction</w:t>
              <w:br/>
              <w:t>3  Scope and intended outcomes</w:t>
            </w:r>
          </w:p>
        </w:tc>
      </w:tr>
      <w:tr>
        <w:trPr>
          <w:cantSplit/>
        </w:trPr>
        <w:tc>
          <w:tcPr>
            <w:tcW w:type="dxa" w:w="22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B  Comprehensive framework</w:t>
            </w:r>
          </w:p>
        </w:tc>
        <w:tc>
          <w:tcPr>
            <w:tcW w:type="dxa" w:w="76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4  National and state architecture</w:t>
              <w:br/>
              <w:t>5  Theory of change</w:t>
              <w:br/>
              <w:t>6–9  Eight programme components</w:t>
              <w:br/>
              <w:t>10  Beneficiaries and inclusion</w:t>
              <w:br/>
              <w:t>11  Governance and accountability</w:t>
              <w:br/>
              <w:t>12  Partnerships and commercial integrity</w:t>
              <w:br/>
              <w:t>13  Technology and information architecture</w:t>
              <w:br/>
              <w:t>14  Safeguarding and responsible data use</w:t>
              <w:br/>
              <w:t>15  Implementation and readiness gates</w:t>
              <w:br/>
              <w:t>16  Financing and sustainability</w:t>
              <w:br/>
              <w:t>17  Monitoring and evaluation</w:t>
              <w:br/>
              <w:t>18  Risk and quality management</w:t>
              <w:br/>
              <w:t>19  Communications and participation</w:t>
            </w:r>
          </w:p>
        </w:tc>
      </w:tr>
      <w:tr>
        <w:trPr>
          <w:cantSplit/>
        </w:trPr>
        <w:tc>
          <w:tcPr>
            <w:tcW w:type="dxa" w:w="22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  Activation instruments</w:t>
            </w:r>
          </w:p>
        </w:tc>
        <w:tc>
          <w:tcPr>
            <w:tcW w:type="dxa" w:w="76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20  First 100 days</w:t>
              <w:br/>
              <w:t>21  State and institution activation templates</w:t>
              <w:br/>
              <w:t>22  Decision register</w:t>
              <w:br/>
              <w:t>23  Sources and terminology</w:t>
            </w:r>
          </w:p>
        </w:tc>
      </w:tr>
    </w:tbl>
    <w:p>
      <w:pPr>
        <w:spacing w:after="20"/>
      </w:pPr>
    </w:p>
    <w:p>
      <w:pPr>
        <w:pStyle w:val="Heading2"/>
      </w:pPr>
      <w:r>
        <w:t>How to apply the framework</w:t>
      </w:r>
    </w:p>
    <w:p>
      <w:r>
        <w:t>Use Part A for introductory engagement and concept discussions. Use Part B to prepare programme charters, partner responsibilities, service specifications and budgets. Use Part C to start a controlled pilot and record the decisions required before committing resources.</w:t>
      </w:r>
    </w:p>
    <w:p>
      <w:r>
        <w:t>National standards should define minimum quality and accountability. State and institutional plans should specify the local needs, curriculum context, delivery arrangements, costs and evidence of readiness. Institutions may enter through a school group or direct agreement where a state programme has not yet been activated.</w:t>
      </w:r>
    </w:p>
    <w:p>
      <w:pPr>
        <w:pStyle w:val="Heading2"/>
      </w:pPr>
      <w:r>
        <w:t>Planning conventions</w:t>
      </w:r>
    </w:p>
    <w:p>
      <w:r>
        <w:t>Month 1 means the first month after formal programme authorisation and initial funding, not an assumed calendar launch. Pilot sizes and performance thresholds are illustrative management proposals. National reach is an ambition, not a statement of current availability.</w:t>
      </w:r>
    </w:p>
    <w:p>
      <w:pPr>
        <w:pStyle w:val="Heading1"/>
        <w:pageBreakBefore/>
      </w:pPr>
      <w:r>
        <w:t>1 Executive concept</w:t>
      </w:r>
    </w:p>
    <w:p>
      <w:r>
        <w:t>Smart Education Nigeria Initiative (SENI) is a proposed national education transformation initiative that brings together school management, educator development, guided learning, digital resources, device access, shared computer facilities and infrastructure support. CIE Nigeria would coordinate the national framework, with implementation through participating state programmes, school networks, institutions and specialist partners.</w:t>
      </w:r>
    </w:p>
    <w:p>
      <w:r>
        <w:t>SENI addresses a practical delivery problem: a school may have software without staff confidence, devices without reliable power, or digital content without teaching support. Its response is to plan these requirements together and maintain them through continuing institutional support. Technology choices should follow the educational need and the capacity to use them.</w:t>
      </w:r>
    </w:p>
    <w:p>
      <w:pPr>
        <w:pStyle w:val="Heading2"/>
      </w:pPr>
      <w:r>
        <w:t>The proposed offer</w:t>
      </w:r>
    </w:p>
    <w:p>
      <w:r>
        <w:t>Participating institutions receive a needs assessment, an agreed service package, onboarding and training, continuing support and a clear review process. The entry package focuses on essential school workflows and educator practice. Learning services, laboratories, household devices and larger infrastructure investments are added when their prerequisites and funding are secured.</w:t>
      </w:r>
    </w:p>
    <w:p>
      <w:r>
        <w:t>The first implementation priority is primary and secondary education. Early childhood, technical and vocational education, tertiary education, teacher education and community learning can enter through tailored workstreams after their requirements are defined. Access pathways for out-of-school learners require capable local partners and supervised support.</w:t>
      </w:r>
    </w:p>
    <w:p>
      <w:pPr>
        <w:pStyle w:val="Heading2"/>
      </w:pPr>
      <w:r>
        <w:t>National coordination and local ownership</w:t>
      </w:r>
    </w:p>
    <w:p>
      <w:r>
        <w:t>SENI would establish shared quality requirements, reference service designs, partnership arrangements and aggregated results. State teams would translate these into realistic delivery plans. Schools and authorised education managers retain responsibility for educational decisions, routine operations and appropriate use of their information.</w:t>
      </w:r>
    </w:p>
    <w:p>
      <w:r>
        <w:t>Benue Smart Education Programme (BenSEP) is proposed as SENI’s first state reference programme. Its existing placement within Smart Benue and Innovate Benue should be preserved. Participation under SENI adds a national education framework rather than changing ownership of existing state commitments.</w:t>
      </w:r>
    </w:p>
    <w:p>
      <w:pPr>
        <w:pStyle w:val="Heading2"/>
      </w:pPr>
      <w:r>
        <w:t>The immediate partnership proposition</w:t>
      </w:r>
    </w:p>
    <w:p>
      <w:r>
        <w:t>CIE Nigeria should convene a time-limited design and demonstration phase. Prospective partners may contribute implementation expertise, educator development, curriculum-reviewed content, devices, power, connectivity, finance or independent evaluation. Each contribution must be costed, assigned to a responsible party and tied to measurable service outcomes.</w:t>
      </w:r>
    </w:p>
    <w:p>
      <w:pPr>
        <w:pStyle w:val="Heading1"/>
        <w:pageBreakBefore/>
      </w:pPr>
      <w:r>
        <w:t>2 Rationale and strategic direction</w:t>
      </w:r>
    </w:p>
    <w:p>
      <w:pPr>
        <w:pStyle w:val="Heading2"/>
      </w:pPr>
      <w:r>
        <w:t>Why SENI is needed</w:t>
      </w:r>
    </w:p>
    <w:p>
      <w:r>
        <w:t>The programme’s working diagnosis is that fragmented administration, uneven digital capability, affordability barriers, unreliable infrastructure and inconsistent support can prevent education technology from producing sustained benefits. These issues must be measured in participating institutions before investment; this concept note does not assume that every school has the same constraints.</w:t>
      </w:r>
    </w:p>
    <w:p>
      <w:r>
        <w:t>UNESCO’s 2023 Global Education Monitoring Report identifies access, governance and teacher preparation as key conditions for technology to fulfil its educational potential [1]. SENI therefore treats training, support, governance and infrastructure as integral delivery costs.</w:t>
      </w:r>
    </w:p>
    <w:p>
      <w:pPr>
        <w:pStyle w:val="Heading2"/>
      </w:pPr>
      <w:r>
        <w:t>Vision</w:t>
      </w:r>
    </w:p>
    <w:p>
      <w:r>
        <w:t>A Nigeria where every learner can access quality education, supported by capable educators, well-managed institutions and inclusive opportunities to learn.</w:t>
      </w:r>
    </w:p>
    <w:p>
      <w:pPr>
        <w:pStyle w:val="Heading2"/>
      </w:pPr>
      <w:r>
        <w:t>Mission</w:t>
      </w:r>
    </w:p>
    <w:p>
      <w:r>
        <w:t>To connect education management, teaching, learning and support through practical innovation, appropriate technology, educator development and accountable partnerships that improve educational opportunity across Nigeria.</w:t>
      </w:r>
    </w:p>
    <w:p>
      <w:pPr>
        <w:pStyle w:val="Heading2"/>
      </w:pPr>
      <w:r>
        <w:t>Strategic objectives</w:t>
      </w:r>
    </w:p>
    <w:p>
      <w:pPr>
        <w:pStyle w:val="ListBullet"/>
      </w:pPr>
      <w:r>
        <w:t>Improve institutional administration and education planning through dependable records and useful reporting.</w:t>
      </w:r>
    </w:p>
    <w:p>
      <w:pPr>
        <w:pStyle w:val="ListBullet"/>
      </w:pPr>
      <w:r>
        <w:t>Strengthen educators’ ability to teach, assess and support learners using appropriate digital and blended approaches.</w:t>
      </w:r>
    </w:p>
    <w:p>
      <w:pPr>
        <w:pStyle w:val="ListBullet"/>
      </w:pPr>
      <w:r>
        <w:t>Expand access to curriculum-relevant learning at school, at home and through supervised community settings.</w:t>
      </w:r>
    </w:p>
    <w:p>
      <w:pPr>
        <w:pStyle w:val="ListBullet"/>
      </w:pPr>
      <w:r>
        <w:t>Improve affordable access to suitable devices, shared facilities, accessible resources, power and connectivity.</w:t>
      </w:r>
    </w:p>
    <w:p>
      <w:pPr>
        <w:pStyle w:val="ListBullet"/>
      </w:pPr>
      <w:r>
        <w:t>Protect learners and their information while promoting inclusion, responsible technology use and trust.</w:t>
      </w:r>
    </w:p>
    <w:p>
      <w:pPr>
        <w:pStyle w:val="ListBullet"/>
      </w:pPr>
      <w:r>
        <w:t>Build sustainable delivery partnerships and use evidence to improve services before expansion.</w:t>
      </w:r>
    </w:p>
    <w:p>
      <w:pPr>
        <w:pStyle w:val="Heading2"/>
      </w:pPr>
      <w:r>
        <w:t>Policy compatibility</w:t>
      </w:r>
    </w:p>
    <w:p>
      <w:r>
        <w:t>The Federal Ministry of Education’s National EdTech Strategy portal emphasises infrastructure, teacher capacity, data systems and governance [2]. SENI should map its work to the current authoritative policy instruments and agreed education requirements before each state activation. Policy compatibility is not government endorsement. Existing public resources, including the Nigeria Learning Passport, should be assessed for complementary use rather than duplicated without a clear need [3].</w:t>
      </w:r>
    </w:p>
    <w:p>
      <w:pPr>
        <w:pStyle w:val="Heading1"/>
        <w:pageBreakBefore/>
      </w:pPr>
      <w:r>
        <w:t>3 Scope and intended outcomes</w:t>
      </w:r>
    </w:p>
    <w:p>
      <w:pPr>
        <w:pStyle w:val="Heading2"/>
      </w:pPr>
      <w:r>
        <w:t>Initial scope</w:t>
      </w:r>
    </w:p>
    <w:p>
      <w:r>
        <w:t>The initial operating scope is a manageable cohort of primary and secondary schools, including willing public, private, faith-based and community institutions where appropriate permissions exist. Selection should include different readiness levels and contexts, with realistic support for less-connected schools. No national rollout or universal device entitlement is implied.</w:t>
      </w:r>
    </w:p>
    <w:p>
      <w:pPr>
        <w:pStyle w:val="Heading2"/>
      </w:pPr>
      <w:r>
        <w:t>What success should look like</w:t>
      </w:r>
    </w:p>
    <w:p>
      <w:r>
        <w:t>For learners, success means more reliable access to relevant learning and feedback, with measurable improvement in selected learning objectives. For teachers, it means demonstrated classroom practice and manageable workloads. For institutions, it means accurate records, useful workflows and faster completion of selected administrative tasks. For families, it means understandable communication and fair access arrangements.</w:t>
      </w:r>
    </w:p>
    <w:p>
      <w:r>
        <w:t>For education authorities and school groups, success means timely, reliable information and clearer responsibility for follow-up. For partners, it means transparent commitments, evidence of delivery and a credible service model. Employment and local enterprise opportunities may follow through support, repairs, training and content production, but should be counted separately from education outputs.</w:t>
      </w:r>
    </w:p>
    <w:p>
      <w:pPr>
        <w:pStyle w:val="Heading2"/>
      </w:pPr>
      <w:r>
        <w:t>Boundaries</w:t>
      </w:r>
    </w:p>
    <w:p>
      <w:r>
        <w:t>SENI does not replace schools, teachers, curriculum authorities, examination bodies or government education responsibilities. It does not automatically confer accreditation, examination approval or recognised qualifications. Virtual learning supports must be described according to their actual authorisation and delivery model.</w:t>
      </w:r>
    </w:p>
    <w:p>
      <w:r>
        <w:t>Artificial intelligence, immersive learning and advanced analytics are optional future capabilities subject to educational review, cost and safety. They are not prerequisites for the initial package. Public claims must distinguish operational services from pilots and planned offerings.</w:t>
      </w:r>
    </w:p>
    <w:p>
      <w:pPr>
        <w:pStyle w:val="Heading2"/>
      </w:pPr>
      <w:r>
        <w:t>Concept approval sought</w:t>
      </w:r>
    </w:p>
    <w:p>
      <w:r>
        <w:t>The proposed decision is to adopt SENI’s purpose and operating principles; nominate accountable leadership; approve a costed design phase; and authorise preparation of a Benue demonstration plan. A subsequent investment decision should approve the actual institution cohort, services, contracts, recurrent funding and delivery gates.</w:t>
      </w:r>
    </w:p>
    <w:p>
      <w:pPr>
        <w:pStyle w:val="Heading2"/>
      </w:pPr>
      <w:r>
        <w:t>Core delivery principles</w:t>
      </w:r>
    </w:p>
    <w:p>
      <w:r>
        <w:t>Educational value before technology selection. Inclusion by design. Institutional ownership. Local adaptation within common quality requirements. Affordable whole-life costs. Open and portable information where authorised. Human accountability. Evidence-led expansion. Transparent reporting of limitations and results.</w:t>
      </w:r>
    </w:p>
    <w:p>
      <w:pPr>
        <w:pStyle w:val="Heading1"/>
        <w:pageBreakBefore/>
      </w:pPr>
      <w:r>
        <w:t>4 National and state architecture</w:t>
      </w:r>
    </w:p>
    <w:p>
      <w:r>
        <w:t>SENI is proposed as CIE Nigeria’s national smart education initiative. Its relationship to wider CIE development initiatives should be documented in a short organisational charter. Existing Benue documents place Innovate Benue within I-FEEDING and Smart Benue within Innovate Benue [I1]. That established state relationship can coexist with SENI’s national education coordination.</w:t>
      </w:r>
    </w:p>
    <w:tbl>
      <w:tblPr>
        <w:tblW w:type="auto" w:w="0"/>
        <w:tblLayout w:type="fixed"/>
        <w:tblLook w:firstColumn="1" w:firstRow="1" w:lastColumn="0" w:lastRow="0" w:noHBand="0" w:noVBand="1" w:val="04A0"/>
      </w:tblPr>
      <w:tblGrid>
        <w:gridCol w:w="1800"/>
        <w:gridCol w:w="3168"/>
        <w:gridCol w:w="4896"/>
      </w:tblGrid>
      <w:tr>
        <w:trPr>
          <w:cantSplit/>
          <w:tblHeader/>
        </w:trPr>
        <w:tc>
          <w:tcPr>
            <w:tcW w:type="dxa" w:w="1800"/>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Level</w:t>
            </w:r>
          </w:p>
        </w:tc>
        <w:tc>
          <w:tcPr>
            <w:tcW w:type="dxa" w:w="3168"/>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Role</w:t>
            </w:r>
          </w:p>
        </w:tc>
        <w:tc>
          <w:tcPr>
            <w:tcW w:type="dxa" w:w="4896"/>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Relationship</w:t>
            </w:r>
          </w:p>
        </w:tc>
      </w:tr>
      <w:tr>
        <w:trPr>
          <w:cantSplit/>
        </w:trPr>
        <w:tc>
          <w:tcPr>
            <w:tcW w:type="dxa" w:w="180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CIE Nigeria</w:t>
            </w:r>
          </w:p>
        </w:tc>
        <w:tc>
          <w:tcPr>
            <w:tcW w:type="dxa" w:w="316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Sponsor and national convener</w:t>
            </w:r>
          </w:p>
        </w:tc>
        <w:tc>
          <w:tcPr>
            <w:tcW w:type="dxa" w:w="489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Adopts SENI charter and appoints accountable leadership.</w:t>
            </w:r>
          </w:p>
        </w:tc>
      </w:tr>
      <w:tr>
        <w:trPr>
          <w:cantSplit/>
        </w:trPr>
        <w:tc>
          <w:tcPr>
            <w:tcW w:type="dxa" w:w="180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SENI</w:t>
            </w:r>
          </w:p>
        </w:tc>
        <w:tc>
          <w:tcPr>
            <w:tcW w:type="dxa" w:w="316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National education framework</w:t>
            </w:r>
          </w:p>
        </w:tc>
        <w:tc>
          <w:tcPr>
            <w:tcW w:type="dxa" w:w="489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Defines standards, shared services, partner requirements and evidence.</w:t>
            </w:r>
          </w:p>
        </w:tc>
      </w:tr>
      <w:tr>
        <w:trPr>
          <w:cantSplit/>
        </w:trPr>
        <w:tc>
          <w:tcPr>
            <w:tcW w:type="dxa" w:w="180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State programme</w:t>
            </w:r>
          </w:p>
        </w:tc>
        <w:tc>
          <w:tcPr>
            <w:tcW w:type="dxa" w:w="316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Local education delivery</w:t>
            </w:r>
          </w:p>
        </w:tc>
        <w:tc>
          <w:tcPr>
            <w:tcW w:type="dxa" w:w="489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Adapts SENI to approved state and institutional arrangements.</w:t>
            </w:r>
          </w:p>
        </w:tc>
      </w:tr>
      <w:tr>
        <w:trPr>
          <w:cantSplit/>
        </w:trPr>
        <w:tc>
          <w:tcPr>
            <w:tcW w:type="dxa" w:w="180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BenSEP</w:t>
            </w:r>
          </w:p>
        </w:tc>
        <w:tc>
          <w:tcPr>
            <w:tcW w:type="dxa" w:w="316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Benue reference programme</w:t>
            </w:r>
          </w:p>
        </w:tc>
        <w:tc>
          <w:tcPr>
            <w:tcW w:type="dxa" w:w="489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Remains within Smart Benue and Innovate Benue; aligns education delivery to SENI.</w:t>
            </w:r>
          </w:p>
        </w:tc>
      </w:tr>
      <w:tr>
        <w:trPr>
          <w:cantSplit/>
        </w:trPr>
        <w:tc>
          <w:tcPr>
            <w:tcW w:type="dxa" w:w="180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Schools and networks</w:t>
            </w:r>
          </w:p>
        </w:tc>
        <w:tc>
          <w:tcPr>
            <w:tcW w:type="dxa" w:w="316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Routine implementation</w:t>
            </w:r>
          </w:p>
        </w:tc>
        <w:tc>
          <w:tcPr>
            <w:tcW w:type="dxa" w:w="489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Own local workflows, staff participation, assets and agreed records.</w:t>
            </w:r>
          </w:p>
        </w:tc>
      </w:tr>
    </w:tbl>
    <w:p>
      <w:pPr>
        <w:spacing w:after="20"/>
      </w:pPr>
    </w:p>
    <w:p>
      <w:pPr>
        <w:pStyle w:val="Heading2"/>
      </w:pPr>
      <w:r>
        <w:t>A federated delivery model</w:t>
      </w:r>
    </w:p>
    <w:p>
      <w:r>
        <w:t>State programmes should have a lead organisation, delivery plan, budget, partner register and results framework. National coordination sets minimum expectations; it should not imply unrestricted access to state or school data. State education administrators and school-group managers are separate roles with different authority and reporting needs.</w:t>
      </w:r>
    </w:p>
    <w:p>
      <w:r>
        <w:t>A school network may participate through a network agreement spanning several states. Its operational reporting remains distinct from jurisdictional reporting. A direct institution agreement is permissible before a state programme exists, provided it makes no claim of state-government sponsorship.</w:t>
      </w:r>
    </w:p>
    <w:p>
      <w:pPr>
        <w:pStyle w:val="Heading2"/>
      </w:pPr>
      <w:r>
        <w:t>Naming and identity</w:t>
      </w:r>
    </w:p>
    <w:p>
      <w:r>
        <w:t>Use Smart Education Nigeria Initiative and SENI nationally. Preserve Benue Smart Education Programme and BenSEP in Benue. New state programme names and abbreviations require a naming review before adoption. Smart Education Nigeria, listed separately in the existing BenSEP delivery network, should not automatically be treated as the same legal entity as SENI.</w:t>
      </w:r>
    </w:p>
    <w:p>
      <w:r>
        <w:t>The signing entity for contracts and fundraising must be identified explicitly. SENI is an initiative name in this framework; no separate incorporation is asserted. Relationships with CIE commercial entities or affiliated providers require disclosed agreements and independent oversight where conflicts arise.</w:t>
      </w:r>
    </w:p>
    <w:p>
      <w:pPr>
        <w:pStyle w:val="Heading1"/>
        <w:pageBreakBefore/>
      </w:pPr>
      <w:r>
        <w:t>5 Theory of change</w:t>
      </w:r>
    </w:p>
    <w:p>
      <w:r>
        <w:t>If institutions receive suitable tools, educators learn to use them in teaching and administration, learners can access relevant resources, and dependable support remains available, then sustained use should improve selected institutional and learning outcomes. This pathway depends on leadership, affordability, curriculum quality, inclusion and reliable operation.</w:t>
      </w:r>
    </w:p>
    <w:tbl>
      <w:tblPr>
        <w:tblW w:type="auto" w:w="0"/>
        <w:tblLayout w:type="fixed"/>
        <w:tblLook w:firstColumn="1" w:firstRow="1" w:lastColumn="0" w:lastRow="0" w:noHBand="0" w:noVBand="1" w:val="04A0"/>
      </w:tblPr>
      <w:tblGrid>
        <w:gridCol w:w="1656"/>
        <w:gridCol w:w="5040"/>
        <w:gridCol w:w="3168"/>
      </w:tblGrid>
      <w:tr>
        <w:trPr>
          <w:cantSplit/>
          <w:tblHeader/>
        </w:trPr>
        <w:tc>
          <w:tcPr>
            <w:tcW w:type="dxa" w:w="1656"/>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Stage</w:t>
            </w:r>
          </w:p>
        </w:tc>
        <w:tc>
          <w:tcPr>
            <w:tcW w:type="dxa" w:w="5040"/>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What SENI provides or expects</w:t>
            </w:r>
          </w:p>
        </w:tc>
        <w:tc>
          <w:tcPr>
            <w:tcW w:type="dxa" w:w="3168"/>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Evidence</w:t>
            </w:r>
          </w:p>
        </w:tc>
      </w:tr>
      <w:tr>
        <w:trPr>
          <w:cantSplit/>
        </w:trPr>
        <w:tc>
          <w:tcPr>
            <w:tcW w:type="dxa" w:w="165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Inputs</w:t>
            </w:r>
          </w:p>
        </w:tc>
        <w:tc>
          <w:tcPr>
            <w:tcW w:type="dxa" w:w="504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Staff time, funding, infrastructure, content and partner capability</w:t>
            </w:r>
          </w:p>
        </w:tc>
        <w:tc>
          <w:tcPr>
            <w:tcW w:type="dxa" w:w="316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Approved budget and resource commitments</w:t>
            </w:r>
          </w:p>
        </w:tc>
      </w:tr>
      <w:tr>
        <w:trPr>
          <w:cantSplit/>
        </w:trPr>
        <w:tc>
          <w:tcPr>
            <w:tcW w:type="dxa" w:w="165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Activities</w:t>
            </w:r>
          </w:p>
        </w:tc>
        <w:tc>
          <w:tcPr>
            <w:tcW w:type="dxa" w:w="504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Assess, configure, train, deliver learning, maintain and coach</w:t>
            </w:r>
          </w:p>
        </w:tc>
        <w:tc>
          <w:tcPr>
            <w:tcW w:type="dxa" w:w="316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Service records and observed delivery</w:t>
            </w:r>
          </w:p>
        </w:tc>
      </w:tr>
      <w:tr>
        <w:trPr>
          <w:cantSplit/>
        </w:trPr>
        <w:tc>
          <w:tcPr>
            <w:tcW w:type="dxa" w:w="165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Outputs</w:t>
            </w:r>
          </w:p>
        </w:tc>
        <w:tc>
          <w:tcPr>
            <w:tcW w:type="dxa" w:w="504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Activated institutions, verified records, trained staff and usable services</w:t>
            </w:r>
          </w:p>
        </w:tc>
        <w:tc>
          <w:tcPr>
            <w:tcW w:type="dxa" w:w="316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Acceptance records and competence checks</w:t>
            </w:r>
          </w:p>
        </w:tc>
      </w:tr>
      <w:tr>
        <w:trPr>
          <w:cantSplit/>
        </w:trPr>
        <w:tc>
          <w:tcPr>
            <w:tcW w:type="dxa" w:w="165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Near-term outcomes</w:t>
            </w:r>
          </w:p>
        </w:tc>
        <w:tc>
          <w:tcPr>
            <w:tcW w:type="dxa" w:w="504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Routine use, better workflows and broader supported access</w:t>
            </w:r>
          </w:p>
        </w:tc>
        <w:tc>
          <w:tcPr>
            <w:tcW w:type="dxa" w:w="316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Usage, task-time measures and access feedback</w:t>
            </w:r>
          </w:p>
        </w:tc>
      </w:tr>
      <w:tr>
        <w:trPr>
          <w:cantSplit/>
        </w:trPr>
        <w:tc>
          <w:tcPr>
            <w:tcW w:type="dxa" w:w="165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Medium-term outcomes</w:t>
            </w:r>
          </w:p>
        </w:tc>
        <w:tc>
          <w:tcPr>
            <w:tcW w:type="dxa" w:w="504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Improved teaching practice and selected learner competencies</w:t>
            </w:r>
          </w:p>
        </w:tc>
        <w:tc>
          <w:tcPr>
            <w:tcW w:type="dxa" w:w="316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Lesson observations and matched assessments</w:t>
            </w:r>
          </w:p>
        </w:tc>
      </w:tr>
      <w:tr>
        <w:trPr>
          <w:cantSplit/>
        </w:trPr>
        <w:tc>
          <w:tcPr>
            <w:tcW w:type="dxa" w:w="165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Long-term contribution</w:t>
            </w:r>
          </w:p>
        </w:tc>
        <w:tc>
          <w:tcPr>
            <w:tcW w:type="dxa" w:w="504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More equitable quality education and stronger human capability</w:t>
            </w:r>
          </w:p>
        </w:tc>
        <w:tc>
          <w:tcPr>
            <w:tcW w:type="dxa" w:w="316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Longitudinal evidence with contextual analysis</w:t>
            </w:r>
          </w:p>
        </w:tc>
      </w:tr>
    </w:tbl>
    <w:p>
      <w:pPr>
        <w:spacing w:after="20"/>
      </w:pPr>
    </w:p>
    <w:p>
      <w:pPr>
        <w:pStyle w:val="Heading2"/>
      </w:pPr>
      <w:r>
        <w:t>Assumptions to test</w:t>
      </w:r>
    </w:p>
    <w:p>
      <w:r>
        <w:t>Schools must allocate staff time; teachers must be able to apply training; learners must have realistic access; parents must understand participation; partners must sustain service; and institutions must use results for improvement. A failure in any of these assumptions should trigger adaptation rather than an automatic technology purchase.</w:t>
      </w:r>
    </w:p>
    <w:p>
      <w:pPr>
        <w:pStyle w:val="Heading2"/>
      </w:pPr>
      <w:r>
        <w:t>Learning agenda</w:t>
      </w:r>
    </w:p>
    <w:p>
      <w:r>
        <w:t>The demonstration should test which workflows save staff time, what coaching changes teacher practice, which access models serve excluded learners, and what it costs to maintain useful participation. Compare supported institutions over time and, where feasible and ethical, with similar institutions or staggered cohorts.</w:t>
      </w:r>
    </w:p>
    <w:p>
      <w:r>
        <w:t>Usage counts establish reach and activity, not causal learning impact. Reports should distinguish delivered services, observed change and evidence that a change can reasonably be attributed to the intervention. Device distribution, account creation and attendance at training are insufficient measures of success.</w:t>
      </w:r>
    </w:p>
    <w:p>
      <w:pPr>
        <w:pStyle w:val="Heading1"/>
        <w:pageBreakBefore/>
      </w:pPr>
      <w:r>
        <w:t>6 School management and educator development</w:t>
      </w:r>
    </w:p>
    <w:p>
      <w:pPr>
        <w:pStyle w:val="Heading2"/>
      </w:pPr>
      <w:r>
        <w:t>Component 1 Smart Education Management Systems</w:t>
      </w:r>
    </w:p>
    <w:p>
      <w:r>
        <w:t>Purpose: strengthen everyday administration and authorised education reporting. The service scope may include school websites, portals, mobile access, learner and staff records, attendance, timetables, assessment and results, communications and reporting. SEMS or SEMS Cloud may serve as an implementation platform after capability, accessibility, security and cost checks; this framework does not certify current functions.</w:t>
      </w:r>
    </w:p>
    <w:p>
      <w:r>
        <w:t>Delivery starts with a school and user register, data cleanup, role configuration and a small set of priority workflows. Schools approve migrated records and reporting rules. State reporting requires an agreed mandate and field definitions. Mobile delivery may use a shared, role-aware application with institution identification; a separate application for every school is not required.</w:t>
      </w:r>
    </w:p>
    <w:p>
      <w:r>
        <w:t>Minimum acceptance: authorised users can complete the agreed workflows; a sample of migrated records reconciles with source records; permissions prevent cross-school exposure; backups and export are demonstrated; staff receive training; and an accountable support route is active. Measure active schools, record quality, workflow completion and administrative time.</w:t>
      </w:r>
    </w:p>
    <w:p>
      <w:pPr>
        <w:pStyle w:val="Heading2"/>
      </w:pPr>
      <w:r>
        <w:t>Component 2 Smart Educator Development Programme</w:t>
      </w:r>
    </w:p>
    <w:p>
      <w:r>
        <w:t>Purpose: develop the practical capability of teachers, school leaders and administrative staff. Learning pathways should cover foundational digital skills, system use, lesson design, inclusive teaching, formative assessment, blended learning, resource evaluation and responsible AI use. Leadership training should include change management and workload planning.</w:t>
      </w:r>
    </w:p>
    <w:p>
      <w:r>
        <w:t>Use an initial competence check followed by short modules, demonstration lessons, coached practice and peer support. Training must account for subject, education level and available infrastructure. Require protected practice time and a named school champion with a backup.</w:t>
      </w:r>
    </w:p>
    <w:p>
      <w:r>
        <w:t>Minimum acceptance: participants demonstrate the skills relevant to their role and apply a reviewed lesson or workflow. Follow up after 30 and 90 days. Record attendance separately from competence and classroom adoption. Any certificate should describe the training actually completed; professional recognition must be verified with the relevant body before being advertised.</w:t>
      </w:r>
    </w:p>
    <w:p>
      <w:pPr>
        <w:pStyle w:val="Heading2"/>
      </w:pPr>
      <w:r>
        <w:t>Why these components come first</w:t>
      </w:r>
    </w:p>
    <w:p>
      <w:r>
        <w:t>These two workstreams establish the routines, capabilities and information needed for later investments. They can operate at modest scale while identifying whether devices, laboratories, learning services or infrastructure are the most useful next step for each institution.</w:t>
      </w:r>
    </w:p>
    <w:p>
      <w:pPr>
        <w:pStyle w:val="Heading1"/>
        <w:pageBreakBefore/>
      </w:pPr>
      <w:r>
        <w:t>7 Guided learning and digital resources</w:t>
      </w:r>
    </w:p>
    <w:p>
      <w:pPr>
        <w:pStyle w:val="Heading2"/>
      </w:pPr>
      <w:r>
        <w:t>Component 3 Virtual Academies and Blended Learning</w:t>
      </w:r>
    </w:p>
    <w:p>
      <w:r>
        <w:t>Purpose: extend supported learning beyond the physical classroom. State or institutional academies may combine teacher-led sessions, recorded lessons, guided activities, practice, assignments and feedback. BenVA is the Benue reference. National coordination can provide reusable standards and shared services without requiring one uniform academy for every state.</w:t>
      </w:r>
    </w:p>
    <w:p>
      <w:r>
        <w:t>Each course needs defined learning objectives, curriculum mapping, age suitability, teacher responsibility, an assessment approach and learner support. A timetable and attendance arrangements should distinguish live sessions from flexible learning. Use downloadable or low-bandwidth materials where feasible and provide an equivalent participation route when live connectivity is unavailable.</w:t>
      </w:r>
    </w:p>
    <w:p>
      <w:r>
        <w:t>Minimum acceptance: learners can access a complete learning sequence, receive feedback and obtain help; teachers can identify learners needing support; parental communication is appropriate; and required content permissions are documented. Measure participation, completion, feedback turnaround and progress against specified competencies. Online content alone should not be described as a recognised school or qualification.</w:t>
      </w:r>
    </w:p>
    <w:p>
      <w:pPr>
        <w:pStyle w:val="Heading2"/>
      </w:pPr>
      <w:r>
        <w:t>Component 4 Digital Education Resources</w:t>
      </w:r>
    </w:p>
    <w:p>
      <w:r>
        <w:t>Purpose: provide reviewed resources that teachers and learners can find and use. The national function should maintain a catalogue and quality process; state resource centres can organise locally relevant collections. The latest BenSEP brochure uses Benue Digital Education Resources Center, or Benue-DERC, replacing the older DERI wording in earlier planning [I2]. SENI should retain that current state name while adopting a consistent national terminology register.</w:t>
      </w:r>
    </w:p>
    <w:p>
      <w:r>
        <w:t>Resources may include textbooks with permission, lesson materials, worksheets, accessible media, simulations and practical activities. STEMDigit is a potential source of STEM learning activities; any resource must be reviewed for accuracy, curriculum fit and suitability before adoption. Simulations should complement physical practical work where the learning outcome requires it.</w:t>
      </w:r>
    </w:p>
    <w:p>
      <w:r>
        <w:t>Minimum acceptance: each resource records its owner or licence, reviewer, subject, level, language, curriculum version, accessibility features and review date. Provide a correction and withdrawal process. Keep restricted examination material out of the catalogue unless expressly licensed.</w:t>
      </w:r>
    </w:p>
    <w:p>
      <w:pPr>
        <w:pStyle w:val="Heading2"/>
      </w:pPr>
      <w:r>
        <w:t>Distinct functions</w:t>
      </w:r>
    </w:p>
    <w:p>
      <w:r>
        <w:t>A virtual academy organises a guided learning service with teaching and feedback. A resource centre curates reusable materials. They may connect technically, but their educational responsibilities and success measures remain different.</w:t>
      </w:r>
    </w:p>
    <w:p>
      <w:pPr>
        <w:pStyle w:val="Heading1"/>
        <w:pageBreakBefore/>
      </w:pPr>
      <w:r>
        <w:t>8 Devices for educators and families</w:t>
      </w:r>
    </w:p>
    <w:p>
      <w:pPr>
        <w:pStyle w:val="Heading2"/>
      </w:pPr>
      <w:r>
        <w:t>Component 5 One Teacher One Laptop</w:t>
      </w:r>
    </w:p>
    <w:p>
      <w:r>
        <w:t>Purpose: expand educators’ access to suitable devices for lesson preparation, teaching, assessment and professional development. Participation may use purchase, institutional allocation, sponsorship, leasing or instalments through qualified partners. The programme name describes its ambition; it does not establish a universal entitlement or a promise of free equipment.</w:t>
      </w:r>
    </w:p>
    <w:p>
      <w:r>
        <w:t>The package should specify minimum performance based on teaching use, operating system and software rights, battery condition where relevant, accessibility, warranty, local repair support and delivery acceptance. Pair devices with training and a practical support plan. Procurement should evaluate lifecycle cost, not just the lowest purchase price.</w:t>
      </w:r>
    </w:p>
    <w:p>
      <w:r>
        <w:t>Minimum acceptance: the recipient checks the device, serial number and accessories; ownership or loan terms are documented; warranty and support contacts are provided; and the teacher can complete a relevant learning task. Measure functional devices in use, repair time, demonstrated use and the affordability of any repayment arrangement.</w:t>
      </w:r>
    </w:p>
    <w:p>
      <w:pPr>
        <w:pStyle w:val="Heading2"/>
      </w:pPr>
      <w:r>
        <w:t>Component 6 One Laptop per Family</w:t>
      </w:r>
    </w:p>
    <w:p>
      <w:r>
        <w:t>Purpose: improve household learning access, particularly where a learner lacks a suitable device. Options include sponsored access, supported purchases, shared family devices and community lending. Eligibility and subsidy rules must be transparent and reviewed for exclusion risks.</w:t>
      </w:r>
    </w:p>
    <w:p>
      <w:r>
        <w:t>A family package should include clear terms, safe-use guidance, age-appropriate accounts, learning resources and help with basic setup. A household should not need to assume unaffordable debt to participate in core school learning. Where a household device is unsuitable or unaffordable, the delivery plan should offer scheduled school or community access.</w:t>
      </w:r>
    </w:p>
    <w:p>
      <w:r>
        <w:t>Minimum acceptance: intended users have a viable access plan, ownership and payment terms are understood, support is available and learning use can be evidenced without intrusive monitoring. Count households and learners separately to avoid inflating reach.</w:t>
      </w:r>
    </w:p>
    <w:p>
      <w:pPr>
        <w:pStyle w:val="Heading2"/>
      </w:pPr>
      <w:r>
        <w:t>Financing and asset controls</w:t>
      </w:r>
    </w:p>
    <w:p>
      <w:r>
        <w:t>Any credit arrangement requires a qualified financing partner and appropriate review of applicable requirements. Publish total payable cost, fees, ownership timing, repair responsibility, cancellation and complaint routes before enrolment. SENI should not invent credit terms or guarantee repayment. Maintain an asset register and a documented repair, reuse, secure data-erasure and disposal process.</w:t>
      </w:r>
    </w:p>
    <w:p>
      <w:pPr>
        <w:pStyle w:val="Heading1"/>
        <w:pageBreakBefore/>
      </w:pPr>
      <w:r>
        <w:t>9 Shared laboratories and infrastructure</w:t>
      </w:r>
    </w:p>
    <w:p>
      <w:pPr>
        <w:pStyle w:val="Heading2"/>
      </w:pPr>
      <w:r>
        <w:t>Component 7 Smart School Computer Laboratories</w:t>
      </w:r>
    </w:p>
    <w:p>
      <w:r>
        <w:t>Purpose: provide shared facilities for digital literacy, curriculum learning and practical activities. Provision should follow a timetable and expected utilisation, with trained coordinators and equitable access across classes. Cluster laboratories serving several schools may be suitable where travel and safeguarding arrangements are workable.</w:t>
      </w:r>
    </w:p>
    <w:p>
      <w:r>
        <w:t>A laboratory design should address usable space, ventilation, physical accessibility, electrical safety, secure storage, devices, teaching display where useful, appropriate software and maintenance. Network design and supervision should match the intended activities. Practical science simulations do not remove the need for real apparatus where curriculum outcomes require hands-on work.</w:t>
      </w:r>
    </w:p>
    <w:p>
      <w:r>
        <w:t>Minimum acceptance: the room and electrical installation are checked by qualified personnel; equipment and licensed software function; educators can run the planned sessions; learners have a safe access schedule; and power, support and replacement costs are funded. Measure learner access hours, functioning workstations and educational use, not installed devices alone.</w:t>
      </w:r>
    </w:p>
    <w:p>
      <w:pPr>
        <w:pStyle w:val="Heading2"/>
      </w:pPr>
      <w:r>
        <w:t>Component 8 Infrastructure for Smart Education Programme</w:t>
      </w:r>
    </w:p>
    <w:p>
      <w:r>
        <w:t>Purpose: maintain the enabling environment for all other components. The scope includes power, connectivity, networks, appropriate equipment, technical support, maintenance and replacement planning. In Benue this aligns with Benue-IFSEP.</w:t>
      </w:r>
    </w:p>
    <w:p>
      <w:r>
        <w:t>Begin with a site survey and demand profile. Specify power capacity, device loads, operating hours and maintenance responsibilities. Choose connectivity based on coverage, capacity, recurring cost and the needs of the learning service. Offline access and synchronisation should be implemented only where the selected tools demonstrably support them.</w:t>
      </w:r>
    </w:p>
    <w:p>
      <w:r>
        <w:t>Minimum acceptance: commissioning records are complete; service performance meets the agreed specification; support contacts and escalation procedures work; asset ownership is recorded; and a funded maintenance plan exists. Any infrastructure that fails basic safety checks must remain out of service until corrected.</w:t>
      </w:r>
    </w:p>
    <w:p>
      <w:pPr>
        <w:pStyle w:val="Heading2"/>
      </w:pPr>
      <w:r>
        <w:t>Support as an ongoing service</w:t>
      </w:r>
    </w:p>
    <w:p>
      <w:r>
        <w:t>Provide a school focal person for first-line help, a state or network support team for routine issues, and specialist escalation for system and infrastructure faults. Ticket records should include severity, owner, action and closure confirmation. Contracts should specify realistic operating hours, restoration objectives and how support continues after initial funding ends.</w:t>
      </w:r>
    </w:p>
    <w:p>
      <w:pPr>
        <w:pStyle w:val="Heading1"/>
        <w:pageBreakBefore/>
      </w:pPr>
      <w:r>
        <w:t>10 Beneficiaries and inclusion</w:t>
      </w:r>
    </w:p>
    <w:tbl>
      <w:tblPr>
        <w:tblW w:type="auto" w:w="0"/>
        <w:tblLayout w:type="fixed"/>
        <w:tblLook w:firstColumn="1" w:firstRow="1" w:lastColumn="0" w:lastRow="0" w:noHBand="0" w:noVBand="1" w:val="04A0"/>
      </w:tblPr>
      <w:tblGrid>
        <w:gridCol w:w="2016"/>
        <w:gridCol w:w="3528"/>
        <w:gridCol w:w="4320"/>
      </w:tblGrid>
      <w:tr>
        <w:trPr>
          <w:cantSplit/>
          <w:tblHeader/>
        </w:trPr>
        <w:tc>
          <w:tcPr>
            <w:tcW w:type="dxa" w:w="2016"/>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Group</w:t>
            </w:r>
          </w:p>
        </w:tc>
        <w:tc>
          <w:tcPr>
            <w:tcW w:type="dxa" w:w="3528"/>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Participation needs</w:t>
            </w:r>
          </w:p>
        </w:tc>
        <w:tc>
          <w:tcPr>
            <w:tcW w:type="dxa" w:w="4320"/>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Delivery response</w:t>
            </w:r>
          </w:p>
        </w:tc>
      </w:tr>
      <w:tr>
        <w:trPr>
          <w:cantSplit/>
        </w:trPr>
        <w:tc>
          <w:tcPr>
            <w:tcW w:type="dxa" w:w="20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Learners</w:t>
            </w:r>
          </w:p>
        </w:tc>
        <w:tc>
          <w:tcPr>
            <w:tcW w:type="dxa" w:w="352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Relevant learning, feedback and safe access</w:t>
            </w:r>
          </w:p>
        </w:tc>
        <w:tc>
          <w:tcPr>
            <w:tcW w:type="dxa" w:w="432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Age-appropriate content, guided support and access alternatives</w:t>
            </w:r>
          </w:p>
        </w:tc>
      </w:tr>
      <w:tr>
        <w:trPr>
          <w:cantSplit/>
        </w:trPr>
        <w:tc>
          <w:tcPr>
            <w:tcW w:type="dxa" w:w="20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Educators</w:t>
            </w:r>
          </w:p>
        </w:tc>
        <w:tc>
          <w:tcPr>
            <w:tcW w:type="dxa" w:w="352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Practical capability and time</w:t>
            </w:r>
          </w:p>
        </w:tc>
        <w:tc>
          <w:tcPr>
            <w:tcW w:type="dxa" w:w="432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Coaching, role-specific training and manageable workflows</w:t>
            </w:r>
          </w:p>
        </w:tc>
      </w:tr>
      <w:tr>
        <w:trPr>
          <w:cantSplit/>
        </w:trPr>
        <w:tc>
          <w:tcPr>
            <w:tcW w:type="dxa" w:w="20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Families</w:t>
            </w:r>
          </w:p>
        </w:tc>
        <w:tc>
          <w:tcPr>
            <w:tcW w:type="dxa" w:w="352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Affordable access and understandable information</w:t>
            </w:r>
          </w:p>
        </w:tc>
        <w:tc>
          <w:tcPr>
            <w:tcW w:type="dxa" w:w="432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Clear costs, guidance and non-digital communication options</w:t>
            </w:r>
          </w:p>
        </w:tc>
      </w:tr>
      <w:tr>
        <w:trPr>
          <w:cantSplit/>
        </w:trPr>
        <w:tc>
          <w:tcPr>
            <w:tcW w:type="dxa" w:w="20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Schools and school groups</w:t>
            </w:r>
          </w:p>
        </w:tc>
        <w:tc>
          <w:tcPr>
            <w:tcW w:type="dxa" w:w="352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Reliable operations and oversight</w:t>
            </w:r>
          </w:p>
        </w:tc>
        <w:tc>
          <w:tcPr>
            <w:tcW w:type="dxa" w:w="432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Institutional roles, group reporting and support plans</w:t>
            </w:r>
          </w:p>
        </w:tc>
      </w:tr>
      <w:tr>
        <w:trPr>
          <w:cantSplit/>
        </w:trPr>
        <w:tc>
          <w:tcPr>
            <w:tcW w:type="dxa" w:w="20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Education authorities</w:t>
            </w:r>
          </w:p>
        </w:tc>
        <w:tc>
          <w:tcPr>
            <w:tcW w:type="dxa" w:w="352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Reliable information within mandate</w:t>
            </w:r>
          </w:p>
        </w:tc>
        <w:tc>
          <w:tcPr>
            <w:tcW w:type="dxa" w:w="432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Agreed reporting scope and authorised access</w:t>
            </w:r>
          </w:p>
        </w:tc>
      </w:tr>
      <w:tr>
        <w:trPr>
          <w:cantSplit/>
        </w:trPr>
        <w:tc>
          <w:tcPr>
            <w:tcW w:type="dxa" w:w="20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Underserved communities</w:t>
            </w:r>
          </w:p>
        </w:tc>
        <w:tc>
          <w:tcPr>
            <w:tcW w:type="dxa" w:w="352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Power, connectivity, language and accessibility support</w:t>
            </w:r>
          </w:p>
        </w:tc>
        <w:tc>
          <w:tcPr>
            <w:tcW w:type="dxa" w:w="432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Targeted subsidies and supervised local access</w:t>
            </w:r>
          </w:p>
        </w:tc>
      </w:tr>
    </w:tbl>
    <w:p>
      <w:pPr>
        <w:spacing w:after="20"/>
      </w:pPr>
    </w:p>
    <w:p>
      <w:pPr>
        <w:pStyle w:val="Heading2"/>
      </w:pPr>
      <w:r>
        <w:t>Equity must influence selection</w:t>
      </w:r>
    </w:p>
    <w:p>
      <w:r>
        <w:t>A readiness-only selection model could favour already well-resourced schools. Cohort design should therefore distinguish institutions ready to activate from those needing a funded readiness package. Include a meaningful range of rural and urban settings and different school types within operational capacity.</w:t>
      </w:r>
    </w:p>
    <w:p>
      <w:r>
        <w:t>Assess barriers affecting girls, learners with disabilities, low-income households, displaced learners and those outside formal schooling. Participation pathways should be designed with relevant communities and qualified local organisations. Do not collect sensitive attributes merely to populate a dashboard; use proportionate, justified measures.</w:t>
      </w:r>
    </w:p>
    <w:p>
      <w:pPr>
        <w:pStyle w:val="Heading2"/>
      </w:pPr>
      <w:r>
        <w:t>Accessible service design</w:t>
      </w:r>
    </w:p>
    <w:p>
      <w:r>
        <w:t>Require readable interfaces, keyboard access where relevant, captions or transcripts for essential media, alternative formats and support for assistive technology. Test core workflows with representative users. Provide local-language guidance where needed and record what is actually supported.</w:t>
      </w:r>
    </w:p>
    <w:p>
      <w:r>
        <w:t>Use shared or supervised access when personal devices are unavailable. Avoid making a parent’s smartphone, continuous connectivity or paid home access a condition of receiving essential school information. Maintain accessible complaint channels and publish eligibility rules for subsidies.</w:t>
      </w:r>
    </w:p>
    <w:p>
      <w:pPr>
        <w:pStyle w:val="Heading2"/>
      </w:pPr>
      <w:r>
        <w:t>Different education levels</w:t>
      </w:r>
    </w:p>
    <w:p>
      <w:r>
        <w:t>Primary education should prioritise guided foundational learning and family support. Secondary education can extend subject practice and practical preparation. Later vocational and tertiary workstreams need separate curriculum, accreditation and institution-specific requirements; they should not inherit a school package unchanged.</w:t>
      </w:r>
    </w:p>
    <w:p>
      <w:pPr>
        <w:pStyle w:val="Heading1"/>
        <w:pageBreakBefore/>
      </w:pPr>
      <w:r>
        <w:t>11 Governance and accountability</w:t>
      </w:r>
    </w:p>
    <w:p>
      <w:r>
        <w:t>CIE Nigeria should approve a programme charter that identifies the legal contracting entity, delegated authority, decision rights, reporting frequency and financial controls. The proposed structure below is functional; it does not require a large permanent bureaucracy at launch.</w:t>
      </w:r>
    </w:p>
    <w:tbl>
      <w:tblPr>
        <w:tblW w:type="auto" w:w="0"/>
        <w:tblLayout w:type="fixed"/>
        <w:tblLook w:firstColumn="1" w:firstRow="1" w:lastColumn="0" w:lastRow="0" w:noHBand="0" w:noVBand="1" w:val="04A0"/>
      </w:tblPr>
      <w:tblGrid>
        <w:gridCol w:w="2304"/>
        <w:gridCol w:w="5256"/>
        <w:gridCol w:w="2304"/>
      </w:tblGrid>
      <w:tr>
        <w:trPr>
          <w:cantSplit/>
          <w:tblHeader/>
        </w:trPr>
        <w:tc>
          <w:tcPr>
            <w:tcW w:type="dxa" w:w="2304"/>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Body or role</w:t>
            </w:r>
          </w:p>
        </w:tc>
        <w:tc>
          <w:tcPr>
            <w:tcW w:type="dxa" w:w="5256"/>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Primary accountability</w:t>
            </w:r>
          </w:p>
        </w:tc>
        <w:tc>
          <w:tcPr>
            <w:tcW w:type="dxa" w:w="2304"/>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Cadence</w:t>
            </w:r>
          </w:p>
        </w:tc>
      </w:tr>
      <w:tr>
        <w:trPr>
          <w:cantSplit/>
        </w:trPr>
        <w:tc>
          <w:tcPr>
            <w:tcW w:type="dxa" w:w="230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CIE Nigeria sponsor</w:t>
            </w:r>
          </w:p>
        </w:tc>
        <w:tc>
          <w:tcPr>
            <w:tcW w:type="dxa" w:w="525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Charter, executive oversight and major commitments</w:t>
            </w:r>
          </w:p>
        </w:tc>
        <w:tc>
          <w:tcPr>
            <w:tcW w:type="dxa" w:w="230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Quarterly and at major gates</w:t>
            </w:r>
          </w:p>
        </w:tc>
      </w:tr>
      <w:tr>
        <w:trPr>
          <w:cantSplit/>
        </w:trPr>
        <w:tc>
          <w:tcPr>
            <w:tcW w:type="dxa" w:w="230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National steering group</w:t>
            </w:r>
          </w:p>
        </w:tc>
        <w:tc>
          <w:tcPr>
            <w:tcW w:type="dxa" w:w="525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Strategy, annual plan, funding priorities and expansion decisions</w:t>
            </w:r>
          </w:p>
        </w:tc>
        <w:tc>
          <w:tcPr>
            <w:tcW w:type="dxa" w:w="230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Quarterly</w:t>
            </w:r>
          </w:p>
        </w:tc>
      </w:tr>
      <w:tr>
        <w:trPr>
          <w:cantSplit/>
        </w:trPr>
        <w:tc>
          <w:tcPr>
            <w:tcW w:type="dxa" w:w="230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Programme secretariat</w:t>
            </w:r>
          </w:p>
        </w:tc>
        <w:tc>
          <w:tcPr>
            <w:tcW w:type="dxa" w:w="525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Delivery plan, budget, partner register and consolidated reporting</w:t>
            </w:r>
          </w:p>
        </w:tc>
        <w:tc>
          <w:tcPr>
            <w:tcW w:type="dxa" w:w="230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Monthly</w:t>
            </w:r>
          </w:p>
        </w:tc>
      </w:tr>
      <w:tr>
        <w:trPr>
          <w:cantSplit/>
        </w:trPr>
        <w:tc>
          <w:tcPr>
            <w:tcW w:type="dxa" w:w="230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Education and quality lead</w:t>
            </w:r>
          </w:p>
        </w:tc>
        <w:tc>
          <w:tcPr>
            <w:tcW w:type="dxa" w:w="525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Curriculum review, educator practice and learning evaluation</w:t>
            </w:r>
          </w:p>
        </w:tc>
        <w:tc>
          <w:tcPr>
            <w:tcW w:type="dxa" w:w="230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Monthly and before releases</w:t>
            </w:r>
          </w:p>
        </w:tc>
      </w:tr>
      <w:tr>
        <w:trPr>
          <w:cantSplit/>
        </w:trPr>
        <w:tc>
          <w:tcPr>
            <w:tcW w:type="dxa" w:w="230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Technology and data lead</w:t>
            </w:r>
          </w:p>
        </w:tc>
        <w:tc>
          <w:tcPr>
            <w:tcW w:type="dxa" w:w="525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Service reliability, access controls and information governance</w:t>
            </w:r>
          </w:p>
        </w:tc>
        <w:tc>
          <w:tcPr>
            <w:tcW w:type="dxa" w:w="230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Monthly and on incidents</w:t>
            </w:r>
          </w:p>
        </w:tc>
      </w:tr>
      <w:tr>
        <w:trPr>
          <w:cantSplit/>
        </w:trPr>
        <w:tc>
          <w:tcPr>
            <w:tcW w:type="dxa" w:w="230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State or network lead</w:t>
            </w:r>
          </w:p>
        </w:tc>
        <w:tc>
          <w:tcPr>
            <w:tcW w:type="dxa" w:w="525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Local agreements, support capacity and institutional delivery</w:t>
            </w:r>
          </w:p>
        </w:tc>
        <w:tc>
          <w:tcPr>
            <w:tcW w:type="dxa" w:w="230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Monthly</w:t>
            </w:r>
          </w:p>
        </w:tc>
      </w:tr>
      <w:tr>
        <w:trPr>
          <w:cantSplit/>
        </w:trPr>
        <w:tc>
          <w:tcPr>
            <w:tcW w:type="dxa" w:w="230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School leader and focal team</w:t>
            </w:r>
          </w:p>
        </w:tc>
        <w:tc>
          <w:tcPr>
            <w:tcW w:type="dxa" w:w="525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Routine adoption, record quality, learner support and asset care</w:t>
            </w:r>
          </w:p>
        </w:tc>
        <w:tc>
          <w:tcPr>
            <w:tcW w:type="dxa" w:w="230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Weekly operational review</w:t>
            </w:r>
          </w:p>
        </w:tc>
      </w:tr>
      <w:tr>
        <w:trPr>
          <w:cantSplit/>
        </w:trPr>
        <w:tc>
          <w:tcPr>
            <w:tcW w:type="dxa" w:w="230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Independent assurance</w:t>
            </w:r>
          </w:p>
        </w:tc>
        <w:tc>
          <w:tcPr>
            <w:tcW w:type="dxa" w:w="525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Sample verification, financial review and evaluation integrity</w:t>
            </w:r>
          </w:p>
        </w:tc>
        <w:tc>
          <w:tcPr>
            <w:tcW w:type="dxa" w:w="230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At agreed milestones</w:t>
            </w:r>
          </w:p>
        </w:tc>
      </w:tr>
    </w:tbl>
    <w:p>
      <w:pPr>
        <w:spacing w:after="20"/>
      </w:pPr>
    </w:p>
    <w:p>
      <w:pPr>
        <w:pStyle w:val="Heading2"/>
      </w:pPr>
      <w:r>
        <w:t>Decision rights</w:t>
      </w:r>
    </w:p>
    <w:p>
      <w:r>
        <w:t>The sponsor approves annual resources and material changes in scope. The steering group authorises expansion only against agreed evidence. The secretariat coordinates delivery within delegated limits. State leads approve local operational plans within their authority. Institutions approve their records, teaching arrangements and staff responsibilities. Suppliers may advise but should not approve their own acceptance or payments.</w:t>
      </w:r>
    </w:p>
    <w:p>
      <w:pPr>
        <w:pStyle w:val="Heading2"/>
      </w:pPr>
      <w:r>
        <w:t>Accountability safeguards</w:t>
      </w:r>
    </w:p>
    <w:p>
      <w:r>
        <w:t>Record conflicts of interest, procurement decisions, acceptance evidence and funding restrictions. Separate sponsorship, technical assessment, selection and payment approval as far as the scale permits. A related-party supplier should disclose its relationship and be assessed against documented value and quality criteria by an unconflicted reviewer.</w:t>
      </w:r>
    </w:p>
    <w:p>
      <w:r>
        <w:t>Maintain a decision log, change register and complaints register. Establish protected reporting routes for safeguarding, fraud and data concerns. Publish an annual narrative and financial summary at an appropriate level of detail without exposing personal records or confidential contracts.</w:t>
      </w:r>
    </w:p>
    <w:p>
      <w:pPr>
        <w:pStyle w:val="Heading1"/>
        <w:pageBreakBefore/>
      </w:pPr>
      <w:r>
        <w:t>12 Partnerships and commercial integrity</w:t>
      </w:r>
    </w:p>
    <w:p>
      <w:pPr>
        <w:pStyle w:val="Heading2"/>
      </w:pPr>
      <w:r>
        <w:t>Partnership categories</w:t>
      </w:r>
    </w:p>
    <w:p>
      <w:r>
        <w:t>Government and education authorities may support alignment, permissions and institutional coordination. Schools and networks provide leadership, staff time and local implementation. Universities and training institutions may contribute educator development and evaluation. Technology, content, device, power and connectivity providers supply agreed services. Philanthropic and development partners may fund access or independent evidence. Finance partners may support approved affordability models.</w:t>
      </w:r>
    </w:p>
    <w:p>
      <w:r>
        <w:t>The existing BenSEP materials identify a delivery ecosystem that includes Digital Ways Africa, Smart Nigeria Academy, Smart Education Nigeria, Open Education Nigeria, Solafrips International, Acedex Educational Services, PAL Innovation, ENGYIA, Tecilia and STEMDigit, with SEMS Cloud, SchoolRena, EduLage and SkillRena among supporting platforms [I2]. These are potential national capability sources, not evidence of signed SENI contracts or automatic supplier selection.</w:t>
      </w:r>
    </w:p>
    <w:p>
      <w:pPr>
        <w:pStyle w:val="Heading2"/>
      </w:pPr>
      <w:r>
        <w:t>Partner admission</w:t>
      </w:r>
    </w:p>
    <w:p>
      <w:r>
        <w:t>Assess legal identity, relevant experience, staffing, delivery capacity, financial resilience, safeguarding, security, accessibility, support coverage and reference projects. Require a demonstration against actual institutional needs. Record limitations and dependencies before a partner is included in an approved service package.</w:t>
      </w:r>
    </w:p>
    <w:p>
      <w:pPr>
        <w:pStyle w:val="Heading2"/>
      </w:pPr>
      <w:r>
        <w:t>Required agreement contents</w:t>
      </w:r>
    </w:p>
    <w:p>
      <w:r>
        <w:t>Every agreement should specify scope, outputs, delivery dates, responsibilities, prices, payment milestones, acceptance criteria, service levels, ownership of assets and intellectual property, data roles, permitted publicity, dispute resolution, termination and transition support. An expression of interest or general memorandum alone should not be treated as a funded implementation order.</w:t>
      </w:r>
    </w:p>
    <w:p>
      <w:r>
        <w:t>Separate grant-funded public benefit activities from paid services. Where an affiliated commercial operator supplies a service, disclose the commercial arrangement, pricing method and oversight. Any fee charged to schools or families must be explained before enrolment. Avoid mandatory bundles that include services an institution does not need.</w:t>
      </w:r>
    </w:p>
    <w:p>
      <w:pPr>
        <w:pStyle w:val="Heading2"/>
      </w:pPr>
      <w:r>
        <w:t>Value for partners</w:t>
      </w:r>
    </w:p>
    <w:p>
      <w:r>
        <w:t>Offer a defined contribution pathway, clear deliverables, credible results and appropriate acknowledgement. Recognition should reflect verified contributions. Do not promise preferential government access, guaranteed procurement, learner data access or an investment return that has not been established through a separate lawful arrangement.</w:t>
      </w:r>
    </w:p>
    <w:p>
      <w:pPr>
        <w:pStyle w:val="Heading1"/>
        <w:pageBreakBefore/>
      </w:pPr>
      <w:r>
        <w:t>13 Technology and information architecture</w:t>
      </w:r>
    </w:p>
    <w:p>
      <w:pPr>
        <w:pStyle w:val="Heading2"/>
      </w:pPr>
      <w:r>
        <w:t>Design for connected services</w:t>
      </w:r>
    </w:p>
    <w:p>
      <w:r>
        <w:t>Use a modular architecture: a public information and participation layer; institution and user identity; school management; learning and content services; support and asset management; and authorised reporting. A common portal can simplify access, but each service must have a defined owner and a tested integration boundary.</w:t>
      </w:r>
    </w:p>
    <w:p>
      <w:r>
        <w:t>The national website should explain SENI, state programmes, service status, participation and partnerships. Operational platforms should handle authenticated workflows. Avoid building a duplicate school management system or learning platform solely to create a new brand.</w:t>
      </w:r>
    </w:p>
    <w:p>
      <w:pPr>
        <w:pStyle w:val="Heading2"/>
      </w:pPr>
      <w:r>
        <w:t>Identity and access</w:t>
      </w:r>
    </w:p>
    <w:p>
      <w:r>
        <w:t>Use explicit institution identifiers and distinct roles for learners, guardians, teachers, school leaders, school-group managers, state administrators and national programme staff. Access should follow actual responsibility. Administrative accounts require stronger authentication and prompt removal when duties end. A national programme role should not automatically grant access to identifiable learner records.</w:t>
      </w:r>
    </w:p>
    <w:p>
      <w:pPr>
        <w:pStyle w:val="Heading2"/>
      </w:pPr>
      <w:r>
        <w:t>Interoperability and data quality</w:t>
      </w:r>
    </w:p>
    <w:p>
      <w:r>
        <w:t>Define a shared data dictionary, identifier strategy, import and export formats, validation rules and reporting periods. Interfaces must document permitted fields, authorisation, synchronisation behaviour and error recovery. Reporting should support agreed education management requirements rather than assuming an existing government interface is available.</w:t>
      </w:r>
    </w:p>
    <w:p>
      <w:r>
        <w:t>Select tools based on low-bandwidth performance, accessibility, supportability, data export and lifecycle cost. Test offline functions and conflict handling where offered. Document hosting locations, subcontractors, backup arrangements and exit procedures before procurement.</w:t>
      </w:r>
    </w:p>
    <w:p>
      <w:pPr>
        <w:pStyle w:val="Heading2"/>
      </w:pPr>
      <w:r>
        <w:t>Minimum service verification</w:t>
      </w:r>
    </w:p>
    <w:p>
      <w:r>
        <w:t>Before live use, test role separation, core workflows, data migration, backup restoration, service monitoring and a support request. Set measurable availability and recovery objectives in each contract. Keep security logs proportionate and access-controlled. Changes affecting assessment, permissions or learner records require review and rollback planning.</w:t>
      </w:r>
    </w:p>
    <w:p>
      <w:pPr>
        <w:pStyle w:val="Heading2"/>
      </w:pPr>
      <w:r>
        <w:t>Platform roadmap</w:t>
      </w:r>
    </w:p>
    <w:p>
      <w:r>
        <w:t>The initial release needs reliable workflows and reporting. Later releases may add shared sign-in, content interoperability, improved analytics and responsible AI support after evidence and testing. A separate product requirements document should specify user journeys, interfaces, acceptance tests and technical priorities for any new development.</w:t>
      </w:r>
    </w:p>
    <w:p>
      <w:pPr>
        <w:pStyle w:val="Heading1"/>
        <w:pageBreakBefore/>
      </w:pPr>
      <w:r>
        <w:t>14 Safeguarding and responsible data use</w:t>
      </w:r>
    </w:p>
    <w:p>
      <w:pPr>
        <w:pStyle w:val="Heading2"/>
      </w:pPr>
      <w:r>
        <w:t>Learner safety</w:t>
      </w:r>
    </w:p>
    <w:p>
      <w:r>
        <w:t>Appoint a safeguarding lead and define institution-level reporting routes before activities involving children begin. Establish codes of conduct, supervised communication channels, moderation rules and procedures for inappropriate contact, harmful content, bullying or exploitation. Staff and partner checks should be appropriate to their roles and applicable requirements.</w:t>
      </w:r>
    </w:p>
    <w:p>
      <w:r>
        <w:t>Explain the limits of online support and the route for urgent concerns. Schools and families need clear information about live sessions, recording, image use and communication. Public case studies require suitable permission and should avoid unnecessary identifying details.</w:t>
      </w:r>
    </w:p>
    <w:p>
      <w:pPr>
        <w:pStyle w:val="Heading2"/>
      </w:pPr>
      <w:r>
        <w:t>Data governance</w:t>
      </w:r>
    </w:p>
    <w:p>
      <w:r>
        <w:t>Nigeria’s Data Protection Act 2023 and NDPC implementation guidance provide the legal context for the programme’s data arrangements [4,5]. A qualified review should establish the duties of each controller and processor, lawful bases, children’s data requirements, notices, retention, access requests, cross-border arrangements and incident procedures before launch. This document sets programme requirements rather than providing a legal opinion.</w:t>
      </w:r>
    </w:p>
    <w:p>
      <w:r>
        <w:t>For each service, record the purpose, data fields, users, recipients, retention period and deletion method. Collect only what is needed. Obtain appropriate permissions where required, but do not treat a generic consent checkbox as the entire compliance model. Assess higher-risk processing before deployment.</w:t>
      </w:r>
    </w:p>
    <w:p>
      <w:r>
        <w:t>Prefer aggregated national reporting. Restrict identifiable records to authorised operational users. Do not sell learner information, use it for behavioural advertising or reuse it to train external AI systems without a separately reviewed lawful basis and appropriate protections. Contracts must bind providers and subcontractors to the agreed restrictions.</w:t>
      </w:r>
    </w:p>
    <w:p>
      <w:pPr>
        <w:pStyle w:val="Heading2"/>
      </w:pPr>
      <w:r>
        <w:t>Responsible AI</w:t>
      </w:r>
    </w:p>
    <w:p>
      <w:r>
        <w:t>AI may assist lesson preparation, accessibility and feedback under educator oversight. Review generated content for accuracy, bias, age suitability and curriculum fit. Do not rely on automated decisions alone for high-stakes grades, admissions or disciplinary action. Provide a human review route and an accessible alternative when an AI feature is unsuitable.</w:t>
      </w:r>
    </w:p>
    <w:p>
      <w:pPr>
        <w:pStyle w:val="Heading2"/>
      </w:pPr>
      <w:r>
        <w:t>Incident readiness</w:t>
      </w:r>
    </w:p>
    <w:p>
      <w:r>
        <w:t>Maintain one escalation process linking schools, providers, the state lead and national responsible officers. Contain the problem, preserve appropriate evidence, assess harm, fulfil applicable notification duties and document corrective action. Safeguarding and privacy incidents should be reviewed without exposing affected learners in routine management reports.</w:t>
      </w:r>
    </w:p>
    <w:p>
      <w:pPr>
        <w:pStyle w:val="Heading1"/>
        <w:pageBreakBefore/>
      </w:pPr>
      <w:r>
        <w:t>15 Implementation and readiness gates</w:t>
      </w:r>
    </w:p>
    <w:tbl>
      <w:tblPr>
        <w:tblW w:type="auto" w:w="0"/>
        <w:tblLayout w:type="fixed"/>
        <w:tblLook w:firstColumn="1" w:firstRow="1" w:lastColumn="0" w:lastRow="0" w:noHBand="0" w:noVBand="1" w:val="04A0"/>
      </w:tblPr>
      <w:tblGrid>
        <w:gridCol w:w="2376"/>
        <w:gridCol w:w="2016"/>
        <w:gridCol w:w="5472"/>
      </w:tblGrid>
      <w:tr>
        <w:trPr>
          <w:cantSplit/>
          <w:tblHeader/>
        </w:trPr>
        <w:tc>
          <w:tcPr>
            <w:tcW w:type="dxa" w:w="2376"/>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Phase</w:t>
            </w:r>
          </w:p>
        </w:tc>
        <w:tc>
          <w:tcPr>
            <w:tcW w:type="dxa" w:w="2016"/>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Indicative period</w:t>
            </w:r>
          </w:p>
        </w:tc>
        <w:tc>
          <w:tcPr>
            <w:tcW w:type="dxa" w:w="5472"/>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Required result before progression</w:t>
            </w:r>
          </w:p>
        </w:tc>
      </w:tr>
      <w:tr>
        <w:trPr>
          <w:cantSplit/>
        </w:trPr>
        <w:tc>
          <w:tcPr>
            <w:tcW w:type="dxa" w:w="237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Design and mobilisation</w:t>
            </w:r>
          </w:p>
        </w:tc>
        <w:tc>
          <w:tcPr>
            <w:tcW w:type="dxa" w:w="20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Months 1–3</w:t>
            </w:r>
          </w:p>
        </w:tc>
        <w:tc>
          <w:tcPr>
            <w:tcW w:type="dxa" w:w="547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Charter, baseline plan, selected cohort, funded scope and agreements</w:t>
            </w:r>
          </w:p>
        </w:tc>
      </w:tr>
      <w:tr>
        <w:trPr>
          <w:cantSplit/>
        </w:trPr>
        <w:tc>
          <w:tcPr>
            <w:tcW w:type="dxa" w:w="237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Supported demonstration</w:t>
            </w:r>
          </w:p>
        </w:tc>
        <w:tc>
          <w:tcPr>
            <w:tcW w:type="dxa" w:w="20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Months 4–9</w:t>
            </w:r>
          </w:p>
        </w:tc>
        <w:tc>
          <w:tcPr>
            <w:tcW w:type="dxa" w:w="547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Core services operating; staff demonstrate competence; support evidence available</w:t>
            </w:r>
          </w:p>
        </w:tc>
      </w:tr>
      <w:tr>
        <w:trPr>
          <w:cantSplit/>
        </w:trPr>
        <w:tc>
          <w:tcPr>
            <w:tcW w:type="dxa" w:w="237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Independent review</w:t>
            </w:r>
          </w:p>
        </w:tc>
        <w:tc>
          <w:tcPr>
            <w:tcW w:type="dxa" w:w="20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Months 10–12</w:t>
            </w:r>
          </w:p>
        </w:tc>
        <w:tc>
          <w:tcPr>
            <w:tcW w:type="dxa" w:w="547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Verified use, affordability, inclusion and service findings; corrective plan</w:t>
            </w:r>
          </w:p>
        </w:tc>
      </w:tr>
      <w:tr>
        <w:trPr>
          <w:cantSplit/>
        </w:trPr>
        <w:tc>
          <w:tcPr>
            <w:tcW w:type="dxa" w:w="237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State expansion</w:t>
            </w:r>
          </w:p>
        </w:tc>
        <w:tc>
          <w:tcPr>
            <w:tcW w:type="dxa" w:w="20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Months 13–24</w:t>
            </w:r>
          </w:p>
        </w:tc>
        <w:tc>
          <w:tcPr>
            <w:tcW w:type="dxa" w:w="547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Additional cohorts supported by funded capacity and reviewed contracts</w:t>
            </w:r>
          </w:p>
        </w:tc>
      </w:tr>
      <w:tr>
        <w:trPr>
          <w:cantSplit/>
        </w:trPr>
        <w:tc>
          <w:tcPr>
            <w:tcW w:type="dxa" w:w="237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Wider replication</w:t>
            </w:r>
          </w:p>
        </w:tc>
        <w:tc>
          <w:tcPr>
            <w:tcW w:type="dxa" w:w="20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Months 25–36 and beyond</w:t>
            </w:r>
          </w:p>
        </w:tc>
        <w:tc>
          <w:tcPr>
            <w:tcW w:type="dxa" w:w="547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State models replicated only where quality and recurring resources are sustained</w:t>
            </w:r>
          </w:p>
        </w:tc>
      </w:tr>
    </w:tbl>
    <w:p>
      <w:pPr>
        <w:spacing w:after="20"/>
      </w:pPr>
    </w:p>
    <w:p>
      <w:r>
        <w:t>This schedule is a planning sequence, not a commitment to launch on a fixed date. A proposed demonstration range is 20–30 schools in Benue, subject to funding and support capacity. A second contrasting state or network should be added only if resources permit an independently supported cohort.</w:t>
      </w:r>
    </w:p>
    <w:p>
      <w:pPr>
        <w:pStyle w:val="Heading2"/>
      </w:pPr>
      <w:r>
        <w:t>Entry gate</w:t>
      </w:r>
    </w:p>
    <w:p>
      <w:r>
        <w:t>Require an accountable school leader, nominated focal persons, documented needs, permission to participate, a viable access and infrastructure plan, agreed costs and a baseline. Where a school cannot meet readiness conditions, define and fund a preparation package rather than recording it as activated.</w:t>
      </w:r>
    </w:p>
    <w:p>
      <w:pPr>
        <w:pStyle w:val="Heading2"/>
      </w:pPr>
      <w:r>
        <w:t>Go live gate</w:t>
      </w:r>
    </w:p>
    <w:p>
      <w:r>
        <w:t>Complete configuration, data checks, training, role tests and service acceptance. Confirm support, safeguarding and privacy arrangements. The institution signs off its scope and records. Defer any component whose infrastructure, staffing or funding is incomplete.</w:t>
      </w:r>
    </w:p>
    <w:p>
      <w:pPr>
        <w:pStyle w:val="Heading2"/>
      </w:pPr>
      <w:r>
        <w:t>Expansion gate</w:t>
      </w:r>
    </w:p>
    <w:p>
      <w:r>
        <w:t>Proposed pilot thresholds are: at least 80% of activated schools complete their agreed core workflow in each of the preceding three months; at least 80% of sampled trained staff demonstrate role competence; and at least 95% of sampled required record fields meet agreed validation rules. Require no unresolved critical safety or security issue and funded support for the next cohort. These thresholds must be adopted or revised before baseline collection.</w:t>
      </w:r>
    </w:p>
    <w:p>
      <w:r>
        <w:t>The steering group should also review learning evidence, exclusion patterns, user feedback, unit costs and support capacity. Passing technical thresholds alone does not justify expansion. A failed gate should produce a time-bound corrective plan, a reduced scope or an orderly pause.</w:t>
      </w:r>
    </w:p>
    <w:p>
      <w:pPr>
        <w:pStyle w:val="Heading1"/>
        <w:pageBreakBefore/>
      </w:pPr>
      <w:r>
        <w:t>16 Financing and sustainability</w:t>
      </w:r>
    </w:p>
    <w:p>
      <w:pPr>
        <w:pStyle w:val="Heading2"/>
      </w:pPr>
      <w:r>
        <w:t>Funding model</w:t>
      </w:r>
    </w:p>
    <w:p>
      <w:r>
        <w:t>Use a blended model of institutional contributions for affordable routine services, grants or philanthropy for inclusion and demonstration, separately agreed public funding, and contracted infrastructure or device financing. Potential funding is not committed funding. The programme must maintain a funding register that distinguishes expressions of interest, signed commitments, cash received and expenditure.</w:t>
      </w:r>
    </w:p>
    <w:p>
      <w:r>
        <w:t>Price each package transparently. Separate one-time assessment, onboarding, migration, training and installation from recurring subscriptions, connectivity, coaching, support, maintenance and replacement. Document any subsidy, its eligibility rules, duration and what happens when it ends.</w:t>
      </w:r>
    </w:p>
    <w:tbl>
      <w:tblPr>
        <w:tblW w:type="auto" w:w="0"/>
        <w:tblLayout w:type="fixed"/>
        <w:tblLook w:firstColumn="1" w:firstRow="1" w:lastColumn="0" w:lastRow="0" w:noHBand="0" w:noVBand="1" w:val="04A0"/>
      </w:tblPr>
      <w:tblGrid>
        <w:gridCol w:w="2448"/>
        <w:gridCol w:w="3600"/>
        <w:gridCol w:w="3816"/>
      </w:tblGrid>
      <w:tr>
        <w:trPr>
          <w:cantSplit/>
          <w:tblHeader/>
        </w:trPr>
        <w:tc>
          <w:tcPr>
            <w:tcW w:type="dxa" w:w="2448"/>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Budget line</w:t>
            </w:r>
          </w:p>
        </w:tc>
        <w:tc>
          <w:tcPr>
            <w:tcW w:type="dxa" w:w="3600"/>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Cost basis</w:t>
            </w:r>
          </w:p>
        </w:tc>
        <w:tc>
          <w:tcPr>
            <w:tcW w:type="dxa" w:w="3816"/>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Evidence required</w:t>
            </w:r>
          </w:p>
        </w:tc>
      </w:tr>
      <w:tr>
        <w:trPr>
          <w:cantSplit/>
        </w:trPr>
        <w:tc>
          <w:tcPr>
            <w:tcW w:type="dxa" w:w="244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Programme coordination</w:t>
            </w:r>
          </w:p>
        </w:tc>
        <w:tc>
          <w:tcPr>
            <w:tcW w:type="dxa" w:w="360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Staff time and agreed operating period</w:t>
            </w:r>
          </w:p>
        </w:tc>
        <w:tc>
          <w:tcPr>
            <w:tcW w:type="dxa" w:w="38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Staffing and work plan</w:t>
            </w:r>
          </w:p>
        </w:tc>
      </w:tr>
      <w:tr>
        <w:trPr>
          <w:cantSplit/>
        </w:trPr>
        <w:tc>
          <w:tcPr>
            <w:tcW w:type="dxa" w:w="244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School onboarding</w:t>
            </w:r>
          </w:p>
        </w:tc>
        <w:tc>
          <w:tcPr>
            <w:tcW w:type="dxa" w:w="360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Schools × verified unit cost</w:t>
            </w:r>
          </w:p>
        </w:tc>
        <w:tc>
          <w:tcPr>
            <w:tcW w:type="dxa" w:w="38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Scope and supplier quotation</w:t>
            </w:r>
          </w:p>
        </w:tc>
      </w:tr>
      <w:tr>
        <w:trPr>
          <w:cantSplit/>
        </w:trPr>
        <w:tc>
          <w:tcPr>
            <w:tcW w:type="dxa" w:w="244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Educator development</w:t>
            </w:r>
          </w:p>
        </w:tc>
        <w:tc>
          <w:tcPr>
            <w:tcW w:type="dxa" w:w="360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Participants and coached delivery hours</w:t>
            </w:r>
          </w:p>
        </w:tc>
        <w:tc>
          <w:tcPr>
            <w:tcW w:type="dxa" w:w="38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Training plan and assessment costs</w:t>
            </w:r>
          </w:p>
        </w:tc>
      </w:tr>
      <w:tr>
        <w:trPr>
          <w:cantSplit/>
        </w:trPr>
        <w:tc>
          <w:tcPr>
            <w:tcW w:type="dxa" w:w="244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Platforms and content</w:t>
            </w:r>
          </w:p>
        </w:tc>
        <w:tc>
          <w:tcPr>
            <w:tcW w:type="dxa" w:w="360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Licensed users or institutions × term</w:t>
            </w:r>
          </w:p>
        </w:tc>
        <w:tc>
          <w:tcPr>
            <w:tcW w:type="dxa" w:w="38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Licence terms and service agreement</w:t>
            </w:r>
          </w:p>
        </w:tc>
      </w:tr>
      <w:tr>
        <w:trPr>
          <w:cantSplit/>
        </w:trPr>
        <w:tc>
          <w:tcPr>
            <w:tcW w:type="dxa" w:w="244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Devices and laboratories</w:t>
            </w:r>
          </w:p>
        </w:tc>
        <w:tc>
          <w:tcPr>
            <w:tcW w:type="dxa" w:w="360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Accepted quantities × delivered cost</w:t>
            </w:r>
          </w:p>
        </w:tc>
        <w:tc>
          <w:tcPr>
            <w:tcW w:type="dxa" w:w="38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Specifications, warranty and installation</w:t>
            </w:r>
          </w:p>
        </w:tc>
      </w:tr>
      <w:tr>
        <w:trPr>
          <w:cantSplit/>
        </w:trPr>
        <w:tc>
          <w:tcPr>
            <w:tcW w:type="dxa" w:w="244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Power and connectivity</w:t>
            </w:r>
          </w:p>
        </w:tc>
        <w:tc>
          <w:tcPr>
            <w:tcW w:type="dxa" w:w="360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Site design plus recurring service</w:t>
            </w:r>
          </w:p>
        </w:tc>
        <w:tc>
          <w:tcPr>
            <w:tcW w:type="dxa" w:w="38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Survey and supplier service terms</w:t>
            </w:r>
          </w:p>
        </w:tc>
      </w:tr>
      <w:tr>
        <w:trPr>
          <w:cantSplit/>
        </w:trPr>
        <w:tc>
          <w:tcPr>
            <w:tcW w:type="dxa" w:w="244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Support and replacement</w:t>
            </w:r>
          </w:p>
        </w:tc>
        <w:tc>
          <w:tcPr>
            <w:tcW w:type="dxa" w:w="360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Coverage period, repair provision and renewal</w:t>
            </w:r>
          </w:p>
        </w:tc>
        <w:tc>
          <w:tcPr>
            <w:tcW w:type="dxa" w:w="38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Maintenance and lifecycle plan</w:t>
            </w:r>
          </w:p>
        </w:tc>
      </w:tr>
      <w:tr>
        <w:trPr>
          <w:cantSplit/>
        </w:trPr>
        <w:tc>
          <w:tcPr>
            <w:tcW w:type="dxa" w:w="244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Inclusion and evaluation</w:t>
            </w:r>
          </w:p>
        </w:tc>
        <w:tc>
          <w:tcPr>
            <w:tcW w:type="dxa" w:w="360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Defined access measures and evaluation design</w:t>
            </w:r>
          </w:p>
        </w:tc>
        <w:tc>
          <w:tcPr>
            <w:tcW w:type="dxa" w:w="38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Targeting rules and independent scope</w:t>
            </w:r>
          </w:p>
        </w:tc>
      </w:tr>
    </w:tbl>
    <w:p>
      <w:pPr>
        <w:spacing w:after="20"/>
      </w:pPr>
    </w:p>
    <w:p>
      <w:pPr>
        <w:pStyle w:val="Heading2"/>
      </w:pPr>
      <w:r>
        <w:t>Costing rules</w:t>
      </w:r>
    </w:p>
    <w:p>
      <w:r>
        <w:t>Prepare a three-year total cost of ownership for each delivery model. Include logistics, applicable taxes, accessibility, safeguarding, evaluation, insurance where justified, disposal and a separately justified contingency. Record quotation dates, currency assumptions and who bears exchange-rate or inflation changes. Do not publish a national budget before scope and unit costs are established.</w:t>
      </w:r>
    </w:p>
    <w:p>
      <w:pPr>
        <w:pStyle w:val="Heading2"/>
      </w:pPr>
      <w:r>
        <w:t>Sustainability test</w:t>
      </w:r>
    </w:p>
    <w:p>
      <w:r>
        <w:t>Before expansion, demonstrate who pays recurrent costs, how much institutions can afford, how subsidies are targeted and who maintains the service. Track cost per active school, per competent educator and per active learner. Device or school counts alone cannot establish value for money. Provide data export and transition support if a service or subsidy ends.</w:t>
      </w:r>
    </w:p>
    <w:p>
      <w:pPr>
        <w:pStyle w:val="Heading1"/>
        <w:pageBreakBefore/>
      </w:pPr>
      <w:r>
        <w:t>17 Monitoring and evaluation</w:t>
      </w:r>
    </w:p>
    <w:p>
      <w:r>
        <w:t>The national results lead should maintain an indicator dictionary and collect an institutional baseline before activation. Report monthly operational performance and quarterly results. Review learning outcomes after an appropriate teaching period, using assessments aligned to the actual intervention.</w:t>
      </w:r>
    </w:p>
    <w:tbl>
      <w:tblPr>
        <w:tblW w:type="auto" w:w="0"/>
        <w:tblLayout w:type="fixed"/>
        <w:tblLook w:firstColumn="1" w:firstRow="1" w:lastColumn="0" w:lastRow="0" w:noHBand="0" w:noVBand="1" w:val="04A0"/>
      </w:tblPr>
      <w:tblGrid>
        <w:gridCol w:w="2160"/>
        <w:gridCol w:w="5328"/>
        <w:gridCol w:w="2376"/>
      </w:tblGrid>
      <w:tr>
        <w:trPr>
          <w:cantSplit/>
          <w:tblHeader/>
        </w:trPr>
        <w:tc>
          <w:tcPr>
            <w:tcW w:type="dxa" w:w="2160"/>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Indicator</w:t>
            </w:r>
          </w:p>
        </w:tc>
        <w:tc>
          <w:tcPr>
            <w:tcW w:type="dxa" w:w="5328"/>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Definition and evidence</w:t>
            </w:r>
          </w:p>
        </w:tc>
        <w:tc>
          <w:tcPr>
            <w:tcW w:type="dxa" w:w="2376"/>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Owner and frequency</w:t>
            </w:r>
          </w:p>
        </w:tc>
      </w:tr>
      <w:tr>
        <w:trPr>
          <w:cantSplit/>
        </w:trPr>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Active schools</w:t>
            </w:r>
          </w:p>
        </w:tc>
        <w:tc>
          <w:tcPr>
            <w:tcW w:type="dxa" w:w="532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Activated schools completing agreed core workflow ÷ activated schools; verified logs</w:t>
            </w:r>
          </w:p>
        </w:tc>
        <w:tc>
          <w:tcPr>
            <w:tcW w:type="dxa" w:w="237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State lead; monthly</w:t>
            </w:r>
          </w:p>
        </w:tc>
      </w:tr>
      <w:tr>
        <w:trPr>
          <w:cantSplit/>
        </w:trPr>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Educator competence</w:t>
            </w:r>
          </w:p>
        </w:tc>
        <w:tc>
          <w:tcPr>
            <w:tcW w:type="dxa" w:w="532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Assessed participants meeting role rubric ÷ participants assessed; practical check</w:t>
            </w:r>
          </w:p>
        </w:tc>
        <w:tc>
          <w:tcPr>
            <w:tcW w:type="dxa" w:w="237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Education lead; baseline and follow-up</w:t>
            </w:r>
          </w:p>
        </w:tc>
      </w:tr>
      <w:tr>
        <w:trPr>
          <w:cantSplit/>
        </w:trPr>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Sustained teaching use</w:t>
            </w:r>
          </w:p>
        </w:tc>
        <w:tc>
          <w:tcPr>
            <w:tcW w:type="dxa" w:w="532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Sampled educators applying reviewed practice in lessons; observation and work samples</w:t>
            </w:r>
          </w:p>
        </w:tc>
        <w:tc>
          <w:tcPr>
            <w:tcW w:type="dxa" w:w="237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School and quality team; termly</w:t>
            </w:r>
          </w:p>
        </w:tc>
      </w:tr>
      <w:tr>
        <w:trPr>
          <w:cantSplit/>
        </w:trPr>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Learner engagement</w:t>
            </w:r>
          </w:p>
        </w:tc>
        <w:tc>
          <w:tcPr>
            <w:tcW w:type="dxa" w:w="532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Learners completing defined learning activity ÷ enrolled learners in that activity</w:t>
            </w:r>
          </w:p>
        </w:tc>
        <w:tc>
          <w:tcPr>
            <w:tcW w:type="dxa" w:w="237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Learning lead; monthly</w:t>
            </w:r>
          </w:p>
        </w:tc>
      </w:tr>
      <w:tr>
        <w:trPr>
          <w:cantSplit/>
        </w:trPr>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Learning progress</w:t>
            </w:r>
          </w:p>
        </w:tc>
        <w:tc>
          <w:tcPr>
            <w:tcW w:type="dxa" w:w="532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Change on comparable curriculum-aligned assessments; report attrition and context</w:t>
            </w:r>
          </w:p>
        </w:tc>
        <w:tc>
          <w:tcPr>
            <w:tcW w:type="dxa" w:w="237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Evaluation lead; baseline and endline</w:t>
            </w:r>
          </w:p>
        </w:tc>
      </w:tr>
      <w:tr>
        <w:trPr>
          <w:cantSplit/>
        </w:trPr>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Equitable access</w:t>
            </w:r>
          </w:p>
        </w:tc>
        <w:tc>
          <w:tcPr>
            <w:tcW w:type="dxa" w:w="532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Participation and completion gaps for justified priority groups; anonymised analysis</w:t>
            </w:r>
          </w:p>
        </w:tc>
        <w:tc>
          <w:tcPr>
            <w:tcW w:type="dxa" w:w="237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Inclusion lead; termly</w:t>
            </w:r>
          </w:p>
        </w:tc>
      </w:tr>
      <w:tr>
        <w:trPr>
          <w:cantSplit/>
        </w:trPr>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Service quality</w:t>
            </w:r>
          </w:p>
        </w:tc>
        <w:tc>
          <w:tcPr>
            <w:tcW w:type="dxa" w:w="532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Availability against contract; restoration time and unresolved critical tickets</w:t>
            </w:r>
          </w:p>
        </w:tc>
        <w:tc>
          <w:tcPr>
            <w:tcW w:type="dxa" w:w="237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Technical lead; monthly</w:t>
            </w:r>
          </w:p>
        </w:tc>
      </w:tr>
      <w:tr>
        <w:trPr>
          <w:cantSplit/>
        </w:trPr>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Data quality</w:t>
            </w:r>
          </w:p>
        </w:tc>
        <w:tc>
          <w:tcPr>
            <w:tcW w:type="dxa" w:w="532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Required sampled fields meeting validation rules ÷ fields sampled</w:t>
            </w:r>
          </w:p>
        </w:tc>
        <w:tc>
          <w:tcPr>
            <w:tcW w:type="dxa" w:w="237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School and data lead; monthly</w:t>
            </w:r>
          </w:p>
        </w:tc>
      </w:tr>
      <w:tr>
        <w:trPr>
          <w:cantSplit/>
        </w:trPr>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Financial sustainability</w:t>
            </w:r>
          </w:p>
        </w:tc>
        <w:tc>
          <w:tcPr>
            <w:tcW w:type="dxa" w:w="532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Recurring cost coverage and cost per active school or learner</w:t>
            </w:r>
          </w:p>
        </w:tc>
        <w:tc>
          <w:tcPr>
            <w:tcW w:type="dxa" w:w="237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Finance lead; quarterly</w:t>
            </w:r>
          </w:p>
        </w:tc>
      </w:tr>
    </w:tbl>
    <w:p>
      <w:pPr>
        <w:spacing w:after="20"/>
      </w:pPr>
    </w:p>
    <w:p>
      <w:pPr>
        <w:pStyle w:val="Heading2"/>
      </w:pPr>
      <w:r>
        <w:t>Targets and reporting integrity</w:t>
      </w:r>
    </w:p>
    <w:p>
      <w:r>
        <w:t>Set targets after baseline and before implementation, with denominators and evidence sources recorded. Publish both enrolment and sustained participation. Deduplicate people across services. Report dropout, non-response and missing data. Disaggregate only where justified and safe, and avoid reporting small groups that could identify individuals.</w:t>
      </w:r>
    </w:p>
    <w:p>
      <w:r>
        <w:t>The independent review should sample records, verify claimed delivery and test whether teacher practice and learner access improved. Use a comparison design where feasible; otherwise describe findings as observed changes and explain other influences. Report lessons and corrective decisions alongside positive results.</w:t>
      </w:r>
    </w:p>
    <w:p>
      <w:pPr>
        <w:pStyle w:val="Heading1"/>
        <w:pageBreakBefore/>
      </w:pPr>
      <w:r>
        <w:t>18 Risk and quality management</w:t>
      </w:r>
    </w:p>
    <w:tbl>
      <w:tblPr>
        <w:tblW w:type="auto" w:w="0"/>
        <w:tblLayout w:type="fixed"/>
        <w:tblLook w:firstColumn="1" w:firstRow="1" w:lastColumn="0" w:lastRow="0" w:noHBand="0" w:noVBand="1" w:val="04A0"/>
      </w:tblPr>
      <w:tblGrid>
        <w:gridCol w:w="2232"/>
        <w:gridCol w:w="5472"/>
        <w:gridCol w:w="2160"/>
      </w:tblGrid>
      <w:tr>
        <w:trPr>
          <w:cantSplit/>
          <w:tblHeader/>
        </w:trPr>
        <w:tc>
          <w:tcPr>
            <w:tcW w:type="dxa" w:w="2232"/>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Risk</w:t>
            </w:r>
          </w:p>
        </w:tc>
        <w:tc>
          <w:tcPr>
            <w:tcW w:type="dxa" w:w="5472"/>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Control and trigger</w:t>
            </w:r>
          </w:p>
        </w:tc>
        <w:tc>
          <w:tcPr>
            <w:tcW w:type="dxa" w:w="2160"/>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Accountable lead</w:t>
            </w:r>
          </w:p>
        </w:tc>
      </w:tr>
      <w:tr>
        <w:trPr>
          <w:cantSplit/>
        </w:trPr>
        <w:tc>
          <w:tcPr>
            <w:tcW w:type="dxa" w:w="22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Low sustained use</w:t>
            </w:r>
          </w:p>
        </w:tc>
        <w:tc>
          <w:tcPr>
            <w:tcW w:type="dxa" w:w="547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Coaching and simplified workflows; intervene when monthly activity falls below threshold</w:t>
            </w:r>
          </w:p>
        </w:tc>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State programme lead</w:t>
            </w:r>
          </w:p>
        </w:tc>
      </w:tr>
      <w:tr>
        <w:trPr>
          <w:cantSplit/>
        </w:trPr>
        <w:tc>
          <w:tcPr>
            <w:tcW w:type="dxa" w:w="22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Insufficient recurrent funding</w:t>
            </w:r>
          </w:p>
        </w:tc>
        <w:tc>
          <w:tcPr>
            <w:tcW w:type="dxa" w:w="547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Fund next cohort before expansion; pause new commitments if coverage fails</w:t>
            </w:r>
          </w:p>
        </w:tc>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Finance lead</w:t>
            </w:r>
          </w:p>
        </w:tc>
      </w:tr>
      <w:tr>
        <w:trPr>
          <w:cantSplit/>
        </w:trPr>
        <w:tc>
          <w:tcPr>
            <w:tcW w:type="dxa" w:w="22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Infrastructure failure</w:t>
            </w:r>
          </w:p>
        </w:tc>
        <w:tc>
          <w:tcPr>
            <w:tcW w:type="dxa" w:w="547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Site checks, monitoring and repair capacity; suspend unsafe equipment immediately</w:t>
            </w:r>
          </w:p>
        </w:tc>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Infrastructure lead</w:t>
            </w:r>
          </w:p>
        </w:tc>
      </w:tr>
      <w:tr>
        <w:trPr>
          <w:cantSplit/>
        </w:trPr>
        <w:tc>
          <w:tcPr>
            <w:tcW w:type="dxa" w:w="22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Privacy or cyber incident</w:t>
            </w:r>
          </w:p>
        </w:tc>
        <w:tc>
          <w:tcPr>
            <w:tcW w:type="dxa" w:w="547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Least-privilege access, tested recovery and incident response; escalate critical exposure immediately</w:t>
            </w:r>
          </w:p>
        </w:tc>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Data and technical leads</w:t>
            </w:r>
          </w:p>
        </w:tc>
      </w:tr>
      <w:tr>
        <w:trPr>
          <w:cantSplit/>
        </w:trPr>
        <w:tc>
          <w:tcPr>
            <w:tcW w:type="dxa" w:w="22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Safeguarding failure</w:t>
            </w:r>
          </w:p>
        </w:tc>
        <w:tc>
          <w:tcPr>
            <w:tcW w:type="dxa" w:w="547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Trained staff, supervised channels and confidential reporting; protect affected learners promptly</w:t>
            </w:r>
          </w:p>
        </w:tc>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Safeguarding lead</w:t>
            </w:r>
          </w:p>
        </w:tc>
      </w:tr>
      <w:tr>
        <w:trPr>
          <w:cantSplit/>
        </w:trPr>
        <w:tc>
          <w:tcPr>
            <w:tcW w:type="dxa" w:w="22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Unequal access</w:t>
            </w:r>
          </w:p>
        </w:tc>
        <w:tc>
          <w:tcPr>
            <w:tcW w:type="dxa" w:w="547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Targeted readiness funding and alternative access; review persistent participation gaps</w:t>
            </w:r>
          </w:p>
        </w:tc>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Inclusion lead</w:t>
            </w:r>
          </w:p>
        </w:tc>
      </w:tr>
      <w:tr>
        <w:trPr>
          <w:cantSplit/>
        </w:trPr>
        <w:tc>
          <w:tcPr>
            <w:tcW w:type="dxa" w:w="22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Poor content or AI errors</w:t>
            </w:r>
          </w:p>
        </w:tc>
        <w:tc>
          <w:tcPr>
            <w:tcW w:type="dxa" w:w="547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Qualified review, correction process and human oversight; withdraw harmful material</w:t>
            </w:r>
          </w:p>
        </w:tc>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Education quality lead</w:t>
            </w:r>
          </w:p>
        </w:tc>
      </w:tr>
      <w:tr>
        <w:trPr>
          <w:cantSplit/>
        </w:trPr>
        <w:tc>
          <w:tcPr>
            <w:tcW w:type="dxa" w:w="22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Supplier failure or lock-in</w:t>
            </w:r>
          </w:p>
        </w:tc>
        <w:tc>
          <w:tcPr>
            <w:tcW w:type="dxa" w:w="547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Portable exports, documented interfaces and transition terms; test exit readiness</w:t>
            </w:r>
          </w:p>
        </w:tc>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Procurement lead</w:t>
            </w:r>
          </w:p>
        </w:tc>
      </w:tr>
      <w:tr>
        <w:trPr>
          <w:cantSplit/>
        </w:trPr>
        <w:tc>
          <w:tcPr>
            <w:tcW w:type="dxa" w:w="22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Conflict of interest or fraud</w:t>
            </w:r>
          </w:p>
        </w:tc>
        <w:tc>
          <w:tcPr>
            <w:tcW w:type="dxa" w:w="547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Disclosure, independent acceptance and payment controls; investigate substantiated concerns</w:t>
            </w:r>
          </w:p>
        </w:tc>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Sponsor and assurance</w:t>
            </w:r>
          </w:p>
        </w:tc>
      </w:tr>
      <w:tr>
        <w:trPr>
          <w:cantSplit/>
        </w:trPr>
        <w:tc>
          <w:tcPr>
            <w:tcW w:type="dxa" w:w="22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Premature public claims</w:t>
            </w:r>
          </w:p>
        </w:tc>
        <w:tc>
          <w:tcPr>
            <w:tcW w:type="dxa" w:w="547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Evidence review before publicity; correct inaccurate deployment or partnership statements</w:t>
            </w:r>
          </w:p>
        </w:tc>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Communications lead</w:t>
            </w:r>
          </w:p>
        </w:tc>
      </w:tr>
    </w:tbl>
    <w:p>
      <w:pPr>
        <w:spacing w:after="20"/>
      </w:pPr>
    </w:p>
    <w:p>
      <w:pPr>
        <w:pStyle w:val="Heading2"/>
      </w:pPr>
      <w:r>
        <w:t>Quality assurance cycle</w:t>
      </w:r>
    </w:p>
    <w:p>
      <w:r>
        <w:t>Define standards before procurement; verify delivery before acceptance; observe actual use after launch; record defects and corrective action; and recheck before expansion. Education quality, safety, accessibility and operational performance require separate checks. A technically functioning platform can still fail an educational acceptance test.</w:t>
      </w:r>
    </w:p>
    <w:p>
      <w:pPr>
        <w:pStyle w:val="Heading2"/>
      </w:pPr>
      <w:r>
        <w:t>Change control</w:t>
      </w:r>
    </w:p>
    <w:p>
      <w:r>
        <w:t>Record each requested change, its reason, cost, risk, effect on users and approval. Major changes to funding, learner data, curriculum coverage or supplier responsibility require steering-level review. Maintain a versioned service catalogue so institutions know which functions are operational, piloting or planned.</w:t>
      </w:r>
    </w:p>
    <w:p>
      <w:pPr>
        <w:pStyle w:val="Heading1"/>
        <w:pageBreakBefore/>
      </w:pPr>
      <w:r>
        <w:t>19 Communications and participation</w:t>
      </w:r>
    </w:p>
    <w:p>
      <w:pPr>
        <w:pStyle w:val="Heading2"/>
      </w:pPr>
      <w:r>
        <w:t>Positioning</w:t>
      </w:r>
    </w:p>
    <w:p>
      <w:r>
        <w:t>Present SENI as a CIE Nigeria-coordinated initiative seeking to expand access to quality education through connected institutional support. Use the approved name and tagline consistently. Describe the specific services available to a participant, the implementing organisation and the basis of any partnership claim.</w:t>
      </w:r>
    </w:p>
    <w:p>
      <w:pPr>
        <w:pStyle w:val="Heading2"/>
      </w:pPr>
      <w:r>
        <w:t>Participation journey</w:t>
      </w:r>
    </w:p>
    <w:p>
      <w:r>
        <w:t>1. Express interest: collect basic institution details, location, contact and priority needs. Avoid collecting learner records at this stage.</w:t>
        <w:br/>
        <w:t>2. Assess and demonstrate: review readiness and demonstrate relevant services against actual workflows.</w:t>
        <w:br/>
        <w:t>3. Agree scope: document availability, responsibilities, pricing, funding and support.</w:t>
        <w:br/>
        <w:t>4. Prepare: nominate focal persons, validate records, train staff and confirm infrastructure.</w:t>
        <w:br/>
        <w:t>5. Activate and support: sign off acceptance and start coached operation.</w:t>
        <w:br/>
        <w:t>6. Review: assess results and decide whether to improve, extend or pause.</w:t>
      </w:r>
    </w:p>
    <w:p>
      <w:pPr>
        <w:pStyle w:val="Heading2"/>
      </w:pPr>
      <w:r>
        <w:t>Public information requirements</w:t>
      </w:r>
    </w:p>
    <w:p>
      <w:r>
        <w:t>The national website and programme materials should explain the concept, components, state programmes, eligibility, participation process and partner opportunities. Publish a service-status distinction between planned, pilot and operational. Provide accessible enquiry, complaint and correction routes. No SENI domain, mailbox or contact number is assumed to have been registered in this framework.</w:t>
      </w:r>
    </w:p>
    <w:p>
      <w:pPr>
        <w:pStyle w:val="Heading2"/>
      </w:pPr>
      <w:r>
        <w:t>State identity and attribution</w:t>
      </w:r>
    </w:p>
    <w:p>
      <w:r>
        <w:t>BenSEP materials should retain the Benue programme name and local contact route. A proposed attribution is: “A state implementation programme aligned with the Smart Education Nigeria Initiative, coordinated nationally by CIE Nigeria and implemented in Benue through CIE Benue within Smart Benue and Innovate Benue.” Adopt this wording only after the relevant governance relationship is approved.</w:t>
      </w:r>
    </w:p>
    <w:p>
      <w:pPr>
        <w:pStyle w:val="Heading2"/>
      </w:pPr>
      <w:r>
        <w:t>Claims and consent</w:t>
      </w:r>
    </w:p>
    <w:p>
      <w:r>
        <w:t>Obtain permission before using partner names or logos. Keep prospective partners separate from contracted delivery partners. Label illustrative photographs appropriately and use participant images only with suitable permission. Publish verified numbers with a reporting date. Do not present interest registrations as activated schools or funding discussions as secured sponsorship.</w:t>
      </w:r>
    </w:p>
    <w:p>
      <w:pPr>
        <w:pStyle w:val="Heading1"/>
        <w:pageBreakBefore/>
      </w:pPr>
      <w:r>
        <w:t>20 First 100 days</w:t>
      </w:r>
    </w:p>
    <w:tbl>
      <w:tblPr>
        <w:tblW w:type="auto" w:w="0"/>
        <w:tblLayout w:type="fixed"/>
        <w:tblLook w:firstColumn="1" w:firstRow="1" w:lastColumn="0" w:lastRow="0" w:noHBand="0" w:noVBand="1" w:val="04A0"/>
      </w:tblPr>
      <w:tblGrid>
        <w:gridCol w:w="1656"/>
        <w:gridCol w:w="4824"/>
        <w:gridCol w:w="3384"/>
      </w:tblGrid>
      <w:tr>
        <w:trPr>
          <w:cantSplit/>
          <w:tblHeader/>
        </w:trPr>
        <w:tc>
          <w:tcPr>
            <w:tcW w:type="dxa" w:w="1656"/>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Period</w:t>
            </w:r>
          </w:p>
        </w:tc>
        <w:tc>
          <w:tcPr>
            <w:tcW w:type="dxa" w:w="4824"/>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Priority work</w:t>
            </w:r>
          </w:p>
        </w:tc>
        <w:tc>
          <w:tcPr>
            <w:tcW w:type="dxa" w:w="3384"/>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Deliverable and owner</w:t>
            </w:r>
          </w:p>
        </w:tc>
      </w:tr>
      <w:tr>
        <w:trPr>
          <w:cantSplit/>
        </w:trPr>
        <w:tc>
          <w:tcPr>
            <w:tcW w:type="dxa" w:w="165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Days 1–15</w:t>
            </w:r>
          </w:p>
        </w:tc>
        <w:tc>
          <w:tcPr>
            <w:tcW w:type="dxa" w:w="482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Adopt purpose, sponsor and contracting identity; resolve national and state positioning</w:t>
            </w:r>
          </w:p>
        </w:tc>
        <w:tc>
          <w:tcPr>
            <w:tcW w:type="dxa" w:w="338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Signed charter and decision register; CIE Nigeria</w:t>
            </w:r>
          </w:p>
        </w:tc>
      </w:tr>
      <w:tr>
        <w:trPr>
          <w:cantSplit/>
        </w:trPr>
        <w:tc>
          <w:tcPr>
            <w:tcW w:type="dxa" w:w="165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Days 16–30</w:t>
            </w:r>
          </w:p>
        </w:tc>
        <w:tc>
          <w:tcPr>
            <w:tcW w:type="dxa" w:w="482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Appoint small delivery team; map needs and partners; draft service and data requirements</w:t>
            </w:r>
          </w:p>
        </w:tc>
        <w:tc>
          <w:tcPr>
            <w:tcW w:type="dxa" w:w="338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Readiness tool and partner shortlist; secretariat</w:t>
            </w:r>
          </w:p>
        </w:tc>
      </w:tr>
      <w:tr>
        <w:trPr>
          <w:cantSplit/>
        </w:trPr>
        <w:tc>
          <w:tcPr>
            <w:tcW w:type="dxa" w:w="165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Days 31–45</w:t>
            </w:r>
          </w:p>
        </w:tc>
        <w:tc>
          <w:tcPr>
            <w:tcW w:type="dxa" w:w="482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Assess prospective schools and network permissions; survey infrastructure and affordability</w:t>
            </w:r>
          </w:p>
        </w:tc>
        <w:tc>
          <w:tcPr>
            <w:tcW w:type="dxa" w:w="338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Costed cohort proposal; state lead</w:t>
            </w:r>
          </w:p>
        </w:tc>
      </w:tr>
      <w:tr>
        <w:trPr>
          <w:cantSplit/>
        </w:trPr>
        <w:tc>
          <w:tcPr>
            <w:tcW w:type="dxa" w:w="165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Days 46–60</w:t>
            </w:r>
          </w:p>
        </w:tc>
        <w:tc>
          <w:tcPr>
            <w:tcW w:type="dxa" w:w="482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Demonstrate systems; review content; agree prices, responsibilities and recurring support</w:t>
            </w:r>
          </w:p>
        </w:tc>
        <w:tc>
          <w:tcPr>
            <w:tcW w:type="dxa" w:w="338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Implementation agreements and financing plan; programme and finance leads</w:t>
            </w:r>
          </w:p>
        </w:tc>
      </w:tr>
      <w:tr>
        <w:trPr>
          <w:cantSplit/>
        </w:trPr>
        <w:tc>
          <w:tcPr>
            <w:tcW w:type="dxa" w:w="165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Days 61–75</w:t>
            </w:r>
          </w:p>
        </w:tc>
        <w:tc>
          <w:tcPr>
            <w:tcW w:type="dxa" w:w="482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Prepare data, baseline measures, safeguarding and training; configure limited services</w:t>
            </w:r>
          </w:p>
        </w:tc>
        <w:tc>
          <w:tcPr>
            <w:tcW w:type="dxa" w:w="338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Readiness evidence pack; school and technical teams</w:t>
            </w:r>
          </w:p>
        </w:tc>
      </w:tr>
      <w:tr>
        <w:trPr>
          <w:cantSplit/>
        </w:trPr>
        <w:tc>
          <w:tcPr>
            <w:tcW w:type="dxa" w:w="165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Days 76–90</w:t>
            </w:r>
          </w:p>
        </w:tc>
        <w:tc>
          <w:tcPr>
            <w:tcW w:type="dxa" w:w="482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Activate only ready institutions; support real workflows and observe teaching use</w:t>
            </w:r>
          </w:p>
        </w:tc>
        <w:tc>
          <w:tcPr>
            <w:tcW w:type="dxa" w:w="3384"/>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Signed acceptance and issue log; state lead</w:t>
            </w:r>
          </w:p>
        </w:tc>
      </w:tr>
      <w:tr>
        <w:trPr>
          <w:cantSplit/>
        </w:trPr>
        <w:tc>
          <w:tcPr>
            <w:tcW w:type="dxa" w:w="165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Days 91–100</w:t>
            </w:r>
          </w:p>
        </w:tc>
        <w:tc>
          <w:tcPr>
            <w:tcW w:type="dxa" w:w="482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Review early use, defects, cost and exclusion; agree corrective actions</w:t>
            </w:r>
          </w:p>
        </w:tc>
        <w:tc>
          <w:tcPr>
            <w:tcW w:type="dxa" w:w="3384"/>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100-day review and next-cohort decision; steering group</w:t>
            </w:r>
          </w:p>
        </w:tc>
      </w:tr>
    </w:tbl>
    <w:p>
      <w:pPr>
        <w:spacing w:after="20"/>
      </w:pPr>
    </w:p>
    <w:p>
      <w:r>
        <w:t>This is a proposed mobilisation plan. The activation dates depend on funding, agreements and institutional readiness. The programme should reduce the cohort or extend preparation rather than waive safety, privacy, service or financing requirements to meet the calendar.</w:t>
      </w:r>
    </w:p>
    <w:p>
      <w:pPr>
        <w:pStyle w:val="Heading2"/>
      </w:pPr>
      <w:r>
        <w:t>Minimum team for the demonstration</w:t>
      </w:r>
    </w:p>
    <w:p>
      <w:r>
        <w:t>Assign named responsibility for programme management, state coordination, education quality, technology and support, finance and partnerships, safeguarding and data protection, and monitoring. Some roles may be combined initially if competence and independence are preserved. Outsource specialist work where appropriate, but retain accountable programme ownership.</w:t>
      </w:r>
    </w:p>
    <w:p>
      <w:pPr>
        <w:pStyle w:val="Heading2"/>
      </w:pPr>
      <w:r>
        <w:t>Immediate leadership decisions</w:t>
      </w:r>
    </w:p>
    <w:p>
      <w:r>
        <w:t>Confirm CIE Nigeria’s sponsoring and contracting arrangements; adopt the proposed national-to-state relationship; designate Benue as the initial reference cohort; approve a preparation budget; and nominate a person to own the costed implementation plan. These decisions should precede national publicity or procurement commitments.</w:t>
      </w:r>
    </w:p>
    <w:p>
      <w:pPr>
        <w:pStyle w:val="Heading1"/>
        <w:pageBreakBefore/>
      </w:pPr>
      <w:r>
        <w:t>21 Activation templates</w:t>
      </w:r>
    </w:p>
    <w:p>
      <w:pPr>
        <w:pStyle w:val="Heading2"/>
      </w:pPr>
      <w:r>
        <w:t>State or network programme charter</w:t>
      </w:r>
    </w:p>
    <w:p>
      <w:r>
        <w:t>Record the programme name, geographic or network scope, lead institution, sponsor, authorisations and relationship to SENI. Specify target education levels, institutional selection criteria, initial components, planned outcomes, governance, partner responsibilities, budget, committed funding, reporting arrangements and review date. Attach an issue and risk register.</w:t>
      </w:r>
    </w:p>
    <w:p>
      <w:pPr>
        <w:pStyle w:val="Heading2"/>
      </w:pPr>
      <w:r>
        <w:t>Institution readiness record</w:t>
      </w:r>
    </w:p>
    <w:tbl>
      <w:tblPr>
        <w:tblW w:type="auto" w:w="0"/>
        <w:tblLayout w:type="fixed"/>
        <w:tblLook w:firstColumn="1" w:firstRow="1" w:lastColumn="0" w:lastRow="0" w:noHBand="0" w:noVBand="1" w:val="04A0"/>
      </w:tblPr>
      <w:tblGrid>
        <w:gridCol w:w="2232"/>
        <w:gridCol w:w="7632"/>
      </w:tblGrid>
      <w:tr>
        <w:trPr>
          <w:cantSplit/>
          <w:tblHeader/>
        </w:trPr>
        <w:tc>
          <w:tcPr>
            <w:tcW w:type="dxa" w:w="2232"/>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Readiness area</w:t>
            </w:r>
          </w:p>
        </w:tc>
        <w:tc>
          <w:tcPr>
            <w:tcW w:type="dxa" w:w="7632"/>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Required record</w:t>
            </w:r>
          </w:p>
        </w:tc>
      </w:tr>
      <w:tr>
        <w:trPr>
          <w:cantSplit/>
        </w:trPr>
        <w:tc>
          <w:tcPr>
            <w:tcW w:type="dxa" w:w="22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Authority and ownership</w:t>
            </w:r>
          </w:p>
        </w:tc>
        <w:tc>
          <w:tcPr>
            <w:tcW w:type="dxa" w:w="76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Signed participation authority; school leader and focal persons</w:t>
            </w:r>
          </w:p>
        </w:tc>
      </w:tr>
      <w:tr>
        <w:trPr>
          <w:cantSplit/>
        </w:trPr>
        <w:tc>
          <w:tcPr>
            <w:tcW w:type="dxa" w:w="22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Educational need</w:t>
            </w:r>
          </w:p>
        </w:tc>
        <w:tc>
          <w:tcPr>
            <w:tcW w:type="dxa" w:w="76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Priority workflows and learning needs; selected service package</w:t>
            </w:r>
          </w:p>
        </w:tc>
      </w:tr>
      <w:tr>
        <w:trPr>
          <w:cantSplit/>
        </w:trPr>
        <w:tc>
          <w:tcPr>
            <w:tcW w:type="dxa" w:w="22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People</w:t>
            </w:r>
          </w:p>
        </w:tc>
        <w:tc>
          <w:tcPr>
            <w:tcW w:type="dxa" w:w="76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Staff availability, training needs and protected practice time</w:t>
            </w:r>
          </w:p>
        </w:tc>
      </w:tr>
      <w:tr>
        <w:trPr>
          <w:cantSplit/>
        </w:trPr>
        <w:tc>
          <w:tcPr>
            <w:tcW w:type="dxa" w:w="22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Infrastructure</w:t>
            </w:r>
          </w:p>
        </w:tc>
        <w:tc>
          <w:tcPr>
            <w:tcW w:type="dxa" w:w="76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Power, connectivity, devices, safe space and access alternatives</w:t>
            </w:r>
          </w:p>
        </w:tc>
      </w:tr>
      <w:tr>
        <w:trPr>
          <w:cantSplit/>
        </w:trPr>
        <w:tc>
          <w:tcPr>
            <w:tcW w:type="dxa" w:w="22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Information</w:t>
            </w:r>
          </w:p>
        </w:tc>
        <w:tc>
          <w:tcPr>
            <w:tcW w:type="dxa" w:w="76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Record quality, permissions, migration and retention arrangements</w:t>
            </w:r>
          </w:p>
        </w:tc>
      </w:tr>
      <w:tr>
        <w:trPr>
          <w:cantSplit/>
        </w:trPr>
        <w:tc>
          <w:tcPr>
            <w:tcW w:type="dxa" w:w="22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Funding</w:t>
            </w:r>
          </w:p>
        </w:tc>
        <w:tc>
          <w:tcPr>
            <w:tcW w:type="dxa" w:w="76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Agreed prices, payer, subsidy terms and recurrent coverage</w:t>
            </w:r>
          </w:p>
        </w:tc>
      </w:tr>
      <w:tr>
        <w:trPr>
          <w:cantSplit/>
        </w:trPr>
        <w:tc>
          <w:tcPr>
            <w:tcW w:type="dxa" w:w="22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Safety and support</w:t>
            </w:r>
          </w:p>
        </w:tc>
        <w:tc>
          <w:tcPr>
            <w:tcW w:type="dxa" w:w="7632"/>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Safeguarding route, support contacts, asset care and incident escalation</w:t>
            </w:r>
          </w:p>
        </w:tc>
      </w:tr>
      <w:tr>
        <w:trPr>
          <w:cantSplit/>
        </w:trPr>
        <w:tc>
          <w:tcPr>
            <w:tcW w:type="dxa" w:w="22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Baseline and acceptance</w:t>
            </w:r>
          </w:p>
        </w:tc>
        <w:tc>
          <w:tcPr>
            <w:tcW w:type="dxa" w:w="7632"/>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Measures, evidence owner, go-live tests and sign-off date</w:t>
            </w:r>
          </w:p>
        </w:tc>
      </w:tr>
    </w:tbl>
    <w:p>
      <w:pPr>
        <w:spacing w:after="20"/>
      </w:pPr>
    </w:p>
    <w:p>
      <w:pPr>
        <w:pStyle w:val="Heading2"/>
      </w:pPr>
      <w:r>
        <w:t>Partner contribution schedule</w:t>
      </w:r>
    </w:p>
    <w:p>
      <w:r>
        <w:t>For each partner record: legal name; contribution type; deliverable; quantity or scope; unit and total cost; cash or in-kind valuation basis; due date; acceptance evidence; responsible contact; payment trigger; data access; publicity permissions; and exit obligations. An unfunded offer should remain separate from a committed contribution.</w:t>
      </w:r>
    </w:p>
    <w:p>
      <w:pPr>
        <w:pStyle w:val="Heading2"/>
      </w:pPr>
      <w:r>
        <w:t>Quarterly review agenda</w:t>
      </w:r>
    </w:p>
    <w:p>
      <w:r>
        <w:t>Review actual participation and learning evidence; compare expenditure with delivery; assess inclusion and complaints; examine safeguarding and security concerns through restricted reporting; evaluate support quality; record procurement conflicts; and decide corrective actions. Close with named owners, deadlines and the explicit decision to continue, adjust, expand or pause.</w:t>
      </w:r>
    </w:p>
    <w:p>
      <w:pPr>
        <w:pStyle w:val="Heading2"/>
      </w:pPr>
      <w:r>
        <w:t>Institution exit record</w:t>
      </w:r>
    </w:p>
    <w:p>
      <w:r>
        <w:t>Confirm notice, unresolved obligations, data export and secure deletion as applicable, asset ownership or return, final invoices, learner continuity arrangements and closure of access accounts. Obtain institution confirmation and retain an appropriate audit trail.</w:t>
      </w:r>
    </w:p>
    <w:p>
      <w:pPr>
        <w:pStyle w:val="Heading1"/>
        <w:pageBreakBefore/>
      </w:pPr>
      <w:r>
        <w:t>22 Decision register</w:t>
      </w:r>
    </w:p>
    <w:p>
      <w:r>
        <w:t>This framework is ready for leadership review. The following decisions turn it into an authorised programme without treating planning assumptions as commitments.</w:t>
      </w:r>
    </w:p>
    <w:tbl>
      <w:tblPr>
        <w:tblW w:type="auto" w:w="0"/>
        <w:tblLayout w:type="fixed"/>
        <w:tblLook w:firstColumn="1" w:firstRow="1" w:lastColumn="0" w:lastRow="0" w:noHBand="0" w:noVBand="1" w:val="04A0"/>
      </w:tblPr>
      <w:tblGrid>
        <w:gridCol w:w="2160"/>
        <w:gridCol w:w="5616"/>
        <w:gridCol w:w="2088"/>
      </w:tblGrid>
      <w:tr>
        <w:trPr>
          <w:cantSplit/>
          <w:tblHeader/>
        </w:trPr>
        <w:tc>
          <w:tcPr>
            <w:tcW w:type="dxa" w:w="2160"/>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Decision</w:t>
            </w:r>
          </w:p>
        </w:tc>
        <w:tc>
          <w:tcPr>
            <w:tcW w:type="dxa" w:w="5616"/>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Recommended position</w:t>
            </w:r>
          </w:p>
        </w:tc>
        <w:tc>
          <w:tcPr>
            <w:tcW w:type="dxa" w:w="2088"/>
            <w:tcBorders>
              <w:top w:val="single" w:sz="4" w:color="D9D9D9"/>
              <w:left w:val="single" w:sz="4" w:color="D9D9D9"/>
              <w:bottom w:val="single" w:sz="4" w:color="D9D9D9"/>
              <w:right w:val="single" w:sz="4" w:color="D9D9D9"/>
            </w:tcBorders>
            <w:shd w:fill="203E50"/>
            <w:tcMar>
              <w:top w:w="65" w:type="dxa"/>
              <w:left w:w="65" w:type="dxa"/>
              <w:bottom w:w="65" w:type="dxa"/>
              <w:right w:w="65" w:type="dxa"/>
            </w:tcMar>
          </w:tcPr>
          <w:p>
            <w:pPr>
              <w:spacing w:after="60" w:line="245" w:lineRule="auto"/>
            </w:pPr>
            <w:r>
              <w:rPr>
                <w:b/>
                <w:color w:val="FFFFFF"/>
                <w:sz w:val="20"/>
              </w:rPr>
              <w:t>Approval owner</w:t>
            </w:r>
          </w:p>
        </w:tc>
      </w:tr>
      <w:tr>
        <w:trPr>
          <w:cantSplit/>
        </w:trPr>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Name and public identity</w:t>
            </w:r>
          </w:p>
        </w:tc>
        <w:tc>
          <w:tcPr>
            <w:tcW w:type="dxa" w:w="56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Smart Education Nigeria Initiative; SENI; agreed access-to-quality-education tagline</w:t>
            </w:r>
          </w:p>
        </w:tc>
        <w:tc>
          <w:tcPr>
            <w:tcW w:type="dxa" w:w="208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Founder and CIE Nigeria</w:t>
            </w:r>
          </w:p>
        </w:tc>
      </w:tr>
      <w:tr>
        <w:trPr>
          <w:cantSplit/>
        </w:trPr>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National sponsor</w:t>
            </w:r>
          </w:p>
        </w:tc>
        <w:tc>
          <w:tcPr>
            <w:tcW w:type="dxa" w:w="56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CIE Nigeria; confirm precise legal signing entity</w:t>
            </w:r>
          </w:p>
        </w:tc>
        <w:tc>
          <w:tcPr>
            <w:tcW w:type="dxa" w:w="208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CIE leadership</w:t>
            </w:r>
          </w:p>
        </w:tc>
      </w:tr>
      <w:tr>
        <w:trPr>
          <w:cantSplit/>
        </w:trPr>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Wider initiative relationship</w:t>
            </w:r>
          </w:p>
        </w:tc>
        <w:tc>
          <w:tcPr>
            <w:tcW w:type="dxa" w:w="56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Preserve existing Benue hierarchy; approve SENI’s national coordination relationship</w:t>
            </w:r>
          </w:p>
        </w:tc>
        <w:tc>
          <w:tcPr>
            <w:tcW w:type="dxa" w:w="208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CIE leadership</w:t>
            </w:r>
          </w:p>
        </w:tc>
      </w:tr>
      <w:tr>
        <w:trPr>
          <w:cantSplit/>
        </w:trPr>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Initial population</w:t>
            </w:r>
          </w:p>
        </w:tc>
        <w:tc>
          <w:tcPr>
            <w:tcW w:type="dxa" w:w="56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Primary and secondary schools; later workstreams separately designed</w:t>
            </w:r>
          </w:p>
        </w:tc>
        <w:tc>
          <w:tcPr>
            <w:tcW w:type="dxa" w:w="208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Steering group</w:t>
            </w:r>
          </w:p>
        </w:tc>
      </w:tr>
      <w:tr>
        <w:trPr>
          <w:cantSplit/>
        </w:trPr>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Initial state reference</w:t>
            </w:r>
          </w:p>
        </w:tc>
        <w:tc>
          <w:tcPr>
            <w:tcW w:type="dxa" w:w="56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BenSEP, subject to a current readiness and funding review</w:t>
            </w:r>
          </w:p>
        </w:tc>
        <w:tc>
          <w:tcPr>
            <w:tcW w:type="dxa" w:w="208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CIE Nigeria and CIE Benue</w:t>
            </w:r>
          </w:p>
        </w:tc>
      </w:tr>
      <w:tr>
        <w:trPr>
          <w:cantSplit/>
        </w:trPr>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Initial services</w:t>
            </w:r>
          </w:p>
        </w:tc>
        <w:tc>
          <w:tcPr>
            <w:tcW w:type="dxa" w:w="56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School management plus educator development; add other components by readiness</w:t>
            </w:r>
          </w:p>
        </w:tc>
        <w:tc>
          <w:tcPr>
            <w:tcW w:type="dxa" w:w="208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Programme and education leads</w:t>
            </w:r>
          </w:p>
        </w:tc>
      </w:tr>
      <w:tr>
        <w:trPr>
          <w:cantSplit/>
        </w:trPr>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Pilot size and performance</w:t>
            </w:r>
          </w:p>
        </w:tc>
        <w:tc>
          <w:tcPr>
            <w:tcW w:type="dxa" w:w="56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Cost a 20–30 school option; adopt or revise proposed thresholds before baseline</w:t>
            </w:r>
          </w:p>
        </w:tc>
        <w:tc>
          <w:tcPr>
            <w:tcW w:type="dxa" w:w="208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Steering group and finance</w:t>
            </w:r>
          </w:p>
        </w:tc>
      </w:tr>
      <w:tr>
        <w:trPr>
          <w:cantSplit/>
        </w:trPr>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National component names</w:t>
            </w:r>
          </w:p>
        </w:tc>
        <w:tc>
          <w:tcPr>
            <w:tcW w:type="dxa" w:w="56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Adopt eight functional components; retain current Benue-DERC naming locally</w:t>
            </w:r>
          </w:p>
        </w:tc>
        <w:tc>
          <w:tcPr>
            <w:tcW w:type="dxa" w:w="208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Programme leadership</w:t>
            </w:r>
          </w:p>
        </w:tc>
      </w:tr>
      <w:tr>
        <w:trPr>
          <w:cantSplit/>
        </w:trPr>
        <w:tc>
          <w:tcPr>
            <w:tcW w:type="dxa" w:w="2160"/>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Financing and suppliers</w:t>
            </w:r>
          </w:p>
        </w:tc>
        <w:tc>
          <w:tcPr>
            <w:tcW w:type="dxa" w:w="5616"/>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Costed procurement with disclosed relationships; no assumed free devices</w:t>
            </w:r>
          </w:p>
        </w:tc>
        <w:tc>
          <w:tcPr>
            <w:tcW w:type="dxa" w:w="2088"/>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after="60" w:line="245" w:lineRule="auto"/>
            </w:pPr>
            <w:r>
              <w:rPr>
                <w:b w:val="0"/>
                <w:color w:val="000000"/>
                <w:sz w:val="20"/>
              </w:rPr>
              <w:t>Finance and procurement leads</w:t>
            </w:r>
          </w:p>
        </w:tc>
      </w:tr>
      <w:tr>
        <w:trPr>
          <w:cantSplit/>
        </w:trPr>
        <w:tc>
          <w:tcPr>
            <w:tcW w:type="dxa" w:w="2160"/>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Public launch</w:t>
            </w:r>
          </w:p>
        </w:tc>
        <w:tc>
          <w:tcPr>
            <w:tcW w:type="dxa" w:w="5616"/>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Only after contact channels, service status, agreements and support are ready</w:t>
            </w:r>
          </w:p>
        </w:tc>
        <w:tc>
          <w:tcPr>
            <w:tcW w:type="dxa" w:w="2088"/>
            <w:tcBorders>
              <w:top w:val="single" w:sz="4" w:color="D9D9D9"/>
              <w:left w:val="single" w:sz="4" w:color="D9D9D9"/>
              <w:bottom w:val="single" w:sz="4" w:color="D9D9D9"/>
              <w:right w:val="single" w:sz="4" w:color="D9D9D9"/>
            </w:tcBorders>
            <w:shd w:fill="F1F5F7"/>
            <w:tcMar>
              <w:top w:w="65" w:type="dxa"/>
              <w:left w:w="65" w:type="dxa"/>
              <w:bottom w:w="65" w:type="dxa"/>
              <w:right w:w="65" w:type="dxa"/>
            </w:tcMar>
          </w:tcPr>
          <w:p>
            <w:pPr>
              <w:spacing w:after="60" w:line="245" w:lineRule="auto"/>
            </w:pPr>
            <w:r>
              <w:rPr>
                <w:b w:val="0"/>
                <w:color w:val="000000"/>
                <w:sz w:val="20"/>
              </w:rPr>
              <w:t>Sponsor</w:t>
            </w:r>
          </w:p>
        </w:tc>
      </w:tr>
    </w:tbl>
    <w:p>
      <w:pPr>
        <w:spacing w:after="20"/>
      </w:pPr>
    </w:p>
    <w:p>
      <w:pPr>
        <w:pStyle w:val="Heading2"/>
      </w:pPr>
      <w:r>
        <w:t>Documents to produce during activation</w:t>
      </w:r>
    </w:p>
    <w:p>
      <w:r>
        <w:t>An approved programme charter; a costed annual work plan; state or network implementation agreements; institutional service packages; partner contracts; safeguarding and data procedures; a platform requirements document where development is needed; and an evaluation protocol. These operational instruments should inherit the principles in this framework and specify concrete owners and dates.</w:t>
      </w:r>
    </w:p>
    <w:p>
      <w:pPr>
        <w:pStyle w:val="Heading2"/>
      </w:pPr>
      <w:r>
        <w:t>Review cycle</w:t>
      </w:r>
    </w:p>
    <w:p>
      <w:r>
        <w:t>Review the framework after the demonstration and at least annually thereafter. Record changes to scope, terminology, governance, policy references, service standards and financing. Preserve earlier versions so commitments can be traced to the terms in force at the time.</w:t>
      </w:r>
    </w:p>
    <w:p>
      <w:pPr>
        <w:pStyle w:val="Heading1"/>
        <w:pageBreakBefore/>
      </w:pPr>
      <w:r>
        <w:t>23 Sources and terminology</w:t>
      </w:r>
    </w:p>
    <w:p>
      <w:pPr>
        <w:pStyle w:val="Heading2"/>
      </w:pPr>
      <w:r>
        <w:t>Internal programme foundations</w:t>
      </w:r>
    </w:p>
    <w:p>
      <w:r>
        <w:t>[I1] Smart Benue Initiative Concept Note and Strategic Framework. Consolidated edition, 6 October 2026. Used for the existing I-FEEDING, Innovate Benue, Smart Benue and state implementation relationships.</w:t>
      </w:r>
    </w:p>
    <w:p>
      <w:r>
        <w:t>[I2] BenueSEP Sharing With Office Location. Current 16-page brochure, version 10, modified 11 October 2026. Used for the eight component functions, Benue-DERC terminology, state delivery roles and participation process. Its partner listings are not treated as proof of national SENI agreements.</w:t>
      </w:r>
    </w:p>
    <w:p>
      <w:r>
        <w:t>[I3] Founder’s naming discussion, 15 October 2026. SENI adopted as the working name for this requested concept note and framework. The national operating model is proposed in this document.</w:t>
      </w:r>
    </w:p>
    <w:p>
      <w:pPr>
        <w:pStyle w:val="Heading2"/>
      </w:pPr>
      <w:r>
        <w:t>External references checked on 15 October 2026</w:t>
      </w:r>
    </w:p>
    <w:p>
      <w:r>
        <w:t>[1] UNESCO. Global Education Monitoring Report 2023, Technology in education. https://www.unesco.org/gem-report/en/publication/technology</w:t>
      </w:r>
    </w:p>
    <w:p>
      <w:r>
        <w:t>[2] Federal Ministry of Education. Nigeria National EdTech Strategy portal. https://edutech.education.gov.ng/  The portal labels its strategy 2025–2030; a World Bank catalogue entry uses 2026–2030. The current authoritative edition and implementation requirements should be confirmed during mobilisation; this framework does not depend on either date range.</w:t>
      </w:r>
    </w:p>
    <w:p>
      <w:r>
        <w:t>[3] Federal Ministry of Education. Nigeria Learning Passport, About us. https://nlp.education.gov.ng/aboutus.html</w:t>
      </w:r>
    </w:p>
    <w:p>
      <w:r>
        <w:t>[4] Nigeria Data Protection Commission. Nigeria Data Protection Act 2023. https://ndpc.gov.ng/download/nigeria-data-protection-act-2023</w:t>
      </w:r>
    </w:p>
    <w:p>
      <w:r>
        <w:t>[5] Nigeria Data Protection Commission. General Application and Implementation Directive 2025. https://ndpc.gov.ng/wp-content/uploads/2025/07/NDP-ACT-GAID-2025-MARCH-20TH.pdf</w:t>
      </w:r>
    </w:p>
    <w:p>
      <w:pPr>
        <w:pStyle w:val="Heading2"/>
      </w:pPr>
      <w:r>
        <w:t>Key terminology</w:t>
      </w:r>
    </w:p>
    <w:p>
      <w:r>
        <w:t>SENI — Smart Education Nigeria Initiative. CIE — Center for Innovation and Entrepreneurship. BenSEP — Benue Smart Education Programme. SEMS — Smart Education Management System. BenVA — Benue Virtual Academy. SEDP — Smart Educator Development Programme. OTOL — One Teacher One Laptop. OLPF — One Laptop per Family. SSCL — Smart School Computer Laboratory. DERC — Digital Education Resources Center. IFSEP — Infrastructure for Smart Education Programme. EMIS — Education Management Information System.</w:t>
      </w:r>
    </w:p>
    <w:p>
      <w:r>
        <w:t>Source note: external references establish context, not endorsement. This document’s delivery standards, numerical gates, governance and schedule are proposed SENI design choices. No national education statistics or unverified funding figures have been introduced.</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Concept note and comprehensive framework  •  15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SENI  |  CIE NIGERIA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 Education Nigeria Initiative Concept Note and Comprehensive Framework</dc:title>
  <dc:subject>SENI national concept and implementation framework</dc:subject>
  <dc:creator>Center for Innovation and Entrepreneurship Nigeria</dc:creator>
  <cp:keywords/>
  <dc:description>generated by python-docx</dc:description>
  <cp:lastModifiedBy/>
  <cp:revision>1</cp:revision>
  <dcterms:created xsi:type="dcterms:W3CDTF">2013-12-23T23:15:00Z</dcterms:created>
  <dcterms:modified xsi:type="dcterms:W3CDTF">2013-12-23T23:15:00Z</dcterms:modified>
  <cp:category/>
</cp:coreProperties>
</file>